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442"/>
        <w:gridCol w:w="7443"/>
      </w:tblGrid>
      <w:tr w:rsidR="00DA6268" w:rsidRPr="00C76668" w14:paraId="4F46A97B" w14:textId="77777777" w:rsidTr="00DA6268">
        <w:tc>
          <w:tcPr>
            <w:tcW w:w="14885" w:type="dxa"/>
            <w:gridSpan w:val="2"/>
          </w:tcPr>
          <w:p w14:paraId="3D99A8C0" w14:textId="69181158" w:rsidR="00DA6268" w:rsidRDefault="00DA6268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76668">
              <w:rPr>
                <w:rFonts w:ascii="Work Sans" w:hAnsi="Work Sans" w:cstheme="minorHAnsi"/>
                <w:b/>
                <w:sz w:val="24"/>
                <w:szCs w:val="24"/>
              </w:rPr>
              <w:t xml:space="preserve">Year </w:t>
            </w:r>
            <w:r w:rsidR="00436DBB">
              <w:rPr>
                <w:rFonts w:ascii="Work Sans" w:hAnsi="Work Sans" w:cstheme="minorHAnsi"/>
                <w:b/>
                <w:sz w:val="24"/>
                <w:szCs w:val="24"/>
              </w:rPr>
              <w:t>3</w:t>
            </w:r>
          </w:p>
          <w:p w14:paraId="4AEBB334" w14:textId="277A979F" w:rsidR="00DA6268" w:rsidRPr="00C76668" w:rsidRDefault="00C76668" w:rsidP="00C766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>
              <w:rPr>
                <w:rFonts w:ascii="Work Sans" w:hAnsi="Work Sans" w:cstheme="minorHAnsi"/>
                <w:b/>
                <w:sz w:val="24"/>
                <w:szCs w:val="24"/>
              </w:rPr>
              <w:t>The substantive knowledge children should know by the end of each unit</w:t>
            </w:r>
          </w:p>
        </w:tc>
      </w:tr>
      <w:tr w:rsidR="00DA6268" w:rsidRPr="00C76668" w14:paraId="50C3CEEF" w14:textId="77777777" w:rsidTr="00DA6268">
        <w:tc>
          <w:tcPr>
            <w:tcW w:w="7442" w:type="dxa"/>
          </w:tcPr>
          <w:p w14:paraId="64E0BA7C" w14:textId="02DCBC4D" w:rsidR="00E35E2D" w:rsidRPr="00784A97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>Autumn 1:</w:t>
            </w:r>
            <w:r w:rsidR="00436DBB"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 What is the Bible’s big story?</w:t>
            </w:r>
          </w:p>
          <w:p w14:paraId="3400FB8F" w14:textId="77777777" w:rsidR="00436DBB" w:rsidRPr="00784A97" w:rsidRDefault="00436DBB" w:rsidP="00436DBB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>To know and remember what the Bible is.</w:t>
            </w:r>
          </w:p>
          <w:p w14:paraId="24BF70A5" w14:textId="77777777" w:rsidR="00436DBB" w:rsidRPr="00784A97" w:rsidRDefault="00436DBB" w:rsidP="00436DBB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>To know and remember the big story of the Bible.</w:t>
            </w:r>
          </w:p>
          <w:p w14:paraId="5F513FA8" w14:textId="77777777" w:rsidR="00436DBB" w:rsidRPr="00784A97" w:rsidRDefault="00436DBB" w:rsidP="00436DBB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>To know and remember the core concepts of the Bible.</w:t>
            </w:r>
          </w:p>
          <w:p w14:paraId="4B040871" w14:textId="77777777" w:rsidR="00436DBB" w:rsidRPr="00784A97" w:rsidRDefault="00436DBB" w:rsidP="00436DBB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>To know how the Bible influences the lives of Christians today.</w:t>
            </w:r>
          </w:p>
          <w:p w14:paraId="04BFC1D8" w14:textId="77777777" w:rsidR="00436DBB" w:rsidRPr="00784A97" w:rsidRDefault="00436DBB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</w:p>
          <w:p w14:paraId="5E25824B" w14:textId="18BCFBB1" w:rsidR="00DA6268" w:rsidRPr="00784A97" w:rsidRDefault="00DA6268" w:rsidP="00E35E2D">
            <w:pPr>
              <w:pStyle w:val="NoSpacing"/>
              <w:ind w:left="457"/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60046DEE" w14:textId="623A9380" w:rsidR="00E35E2D" w:rsidRPr="00784A97" w:rsidRDefault="00DA6268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>Autumn 2:</w:t>
            </w:r>
            <w:r w:rsidR="00436DBB"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</w:t>
            </w:r>
            <w:r w:rsidR="00436DBB" w:rsidRPr="00784A97">
              <w:rPr>
                <w:rFonts w:ascii="Work Sans" w:hAnsi="Work Sans" w:cs="Calibri Light"/>
                <w:b/>
                <w:bCs/>
                <w:sz w:val="16"/>
                <w:szCs w:val="16"/>
              </w:rPr>
              <w:t xml:space="preserve">How does the season of Advent and the feast of the Epiphany point towards the true meaning of Christmas? </w:t>
            </w:r>
            <w:r w:rsidR="00436DBB" w:rsidRPr="00784A97">
              <w:rPr>
                <w:rFonts w:ascii="Work Sans" w:hAnsi="Work Sans" w:cstheme="minorHAnsi"/>
                <w:b/>
                <w:bCs/>
                <w:sz w:val="16"/>
                <w:szCs w:val="16"/>
              </w:rPr>
              <w:t xml:space="preserve">   </w:t>
            </w:r>
          </w:p>
          <w:p w14:paraId="53F84F35" w14:textId="77777777" w:rsidR="00436DBB" w:rsidRPr="00784A97" w:rsidRDefault="00436DBB" w:rsidP="00436DBB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meaning of the core concept:   Incarnation</w:t>
            </w:r>
          </w:p>
          <w:p w14:paraId="78039791" w14:textId="77777777" w:rsidR="00436DBB" w:rsidRPr="00784A97" w:rsidRDefault="00436DBB" w:rsidP="00436DBB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a prophet is.</w:t>
            </w:r>
          </w:p>
          <w:p w14:paraId="3CDA846C" w14:textId="77777777" w:rsidR="00436DBB" w:rsidRPr="00784A97" w:rsidRDefault="00436DBB" w:rsidP="00436DBB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the prophecies were.</w:t>
            </w:r>
          </w:p>
          <w:p w14:paraId="2616E8B2" w14:textId="77777777" w:rsidR="00436DBB" w:rsidRPr="00784A97" w:rsidRDefault="00436DBB" w:rsidP="00436DBB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who John the Baptist is and what his message was.</w:t>
            </w:r>
          </w:p>
          <w:p w14:paraId="57E9B6C0" w14:textId="77777777" w:rsidR="00436DBB" w:rsidRPr="00784A97" w:rsidRDefault="00436DBB" w:rsidP="00436DBB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the meaning of Epiphany and the significance of the wisemen to the Christmas story.</w:t>
            </w:r>
          </w:p>
          <w:p w14:paraId="3C14C588" w14:textId="77777777" w:rsidR="00436DBB" w:rsidRPr="00784A97" w:rsidRDefault="00436DBB" w:rsidP="00436D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To </w:t>
            </w:r>
            <w:proofErr w:type="gramStart"/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have an understanding of</w:t>
            </w:r>
            <w:proofErr w:type="gramEnd"/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 how the Christian community prepares for Christmas. </w:t>
            </w:r>
          </w:p>
          <w:p w14:paraId="03EACDD3" w14:textId="77777777" w:rsidR="00436DBB" w:rsidRPr="00784A97" w:rsidRDefault="00436DBB" w:rsidP="00436D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key religious vocabulary and what each word means.</w:t>
            </w:r>
          </w:p>
          <w:p w14:paraId="01A5CD5B" w14:textId="5FE70C72" w:rsidR="00DA6268" w:rsidRPr="00784A97" w:rsidRDefault="00DA6268" w:rsidP="00E35E2D">
            <w:pPr>
              <w:pStyle w:val="ListParagraph"/>
              <w:spacing w:after="0" w:line="240" w:lineRule="auto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  <w:tr w:rsidR="00DA6268" w:rsidRPr="00C76668" w14:paraId="496BF5B7" w14:textId="77777777" w:rsidTr="00DA6268">
        <w:tc>
          <w:tcPr>
            <w:tcW w:w="7442" w:type="dxa"/>
          </w:tcPr>
          <w:p w14:paraId="544BADF3" w14:textId="75514A15" w:rsidR="00DA6268" w:rsidRPr="00784A97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>Spring 1:</w:t>
            </w:r>
            <w:r w:rsidR="00436DBB"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 What does it mean to be Jewish?</w:t>
            </w: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</w:t>
            </w:r>
          </w:p>
          <w:p w14:paraId="7CE0D9DE" w14:textId="77777777" w:rsidR="00436DBB" w:rsidRPr="00784A97" w:rsidRDefault="00436DBB" w:rsidP="00436D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a promise/covenant is.</w:t>
            </w:r>
          </w:p>
          <w:p w14:paraId="591324F0" w14:textId="77777777" w:rsidR="00436DBB" w:rsidRPr="00784A97" w:rsidRDefault="00436DBB" w:rsidP="00436D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understand the significant of the Shema (Affirmation of the Jewish faith)</w:t>
            </w:r>
          </w:p>
          <w:p w14:paraId="4E7CFECD" w14:textId="77777777" w:rsidR="00436DBB" w:rsidRPr="00784A97" w:rsidRDefault="00436DBB" w:rsidP="00436D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the significance of the Passover is for Jewish people.</w:t>
            </w:r>
          </w:p>
          <w:p w14:paraId="2C47E2BA" w14:textId="77777777" w:rsidR="00436DBB" w:rsidRPr="00784A97" w:rsidRDefault="00436DBB" w:rsidP="00436D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importance of the seder meal for Jewish people.</w:t>
            </w:r>
          </w:p>
          <w:p w14:paraId="5CD1D4C2" w14:textId="77777777" w:rsidR="00436DBB" w:rsidRPr="00784A97" w:rsidRDefault="00436DBB" w:rsidP="00436D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importance of the ten commandments for Jewish people.</w:t>
            </w:r>
          </w:p>
          <w:p w14:paraId="01AA4F48" w14:textId="266A87C3" w:rsidR="00436DBB" w:rsidRPr="00784A97" w:rsidRDefault="00436DBB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48C34F5D" w14:textId="16E92474" w:rsidR="00436DBB" w:rsidRPr="00784A97" w:rsidRDefault="00DA6268" w:rsidP="00E35E2D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>Spring 2:</w:t>
            </w:r>
            <w:r w:rsidR="00436DBB"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 Who is the most important person in the Easter story?</w:t>
            </w:r>
          </w:p>
          <w:p w14:paraId="56E74044" w14:textId="77777777" w:rsidR="00436DBB" w:rsidRPr="00784A97" w:rsidRDefault="00436DBB" w:rsidP="00436DBB">
            <w:pPr>
              <w:pStyle w:val="ListParagraph"/>
              <w:numPr>
                <w:ilvl w:val="0"/>
                <w:numId w:val="23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784A97">
              <w:rPr>
                <w:rFonts w:ascii="Work Sans" w:hAnsi="Work Sans"/>
                <w:sz w:val="16"/>
                <w:szCs w:val="16"/>
              </w:rPr>
              <w:t>The meaning of the core concept:   Salvation</w:t>
            </w:r>
          </w:p>
          <w:p w14:paraId="00995A82" w14:textId="77777777" w:rsidR="00436DBB" w:rsidRPr="00784A97" w:rsidRDefault="00436DBB" w:rsidP="00436DBB">
            <w:pPr>
              <w:pStyle w:val="ListParagraph"/>
              <w:numPr>
                <w:ilvl w:val="0"/>
                <w:numId w:val="23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784A97">
              <w:rPr>
                <w:rFonts w:ascii="Work Sans" w:hAnsi="Work Sans"/>
                <w:sz w:val="16"/>
                <w:szCs w:val="16"/>
              </w:rPr>
              <w:t xml:space="preserve">The role Judas, Peter, the </w:t>
            </w:r>
            <w:proofErr w:type="gramStart"/>
            <w:r w:rsidRPr="00784A97">
              <w:rPr>
                <w:rFonts w:ascii="Work Sans" w:hAnsi="Work Sans"/>
                <w:sz w:val="16"/>
                <w:szCs w:val="16"/>
              </w:rPr>
              <w:t>women</w:t>
            </w:r>
            <w:proofErr w:type="gramEnd"/>
            <w:r w:rsidRPr="00784A97">
              <w:rPr>
                <w:rFonts w:ascii="Work Sans" w:hAnsi="Work Sans"/>
                <w:sz w:val="16"/>
                <w:szCs w:val="16"/>
              </w:rPr>
              <w:t xml:space="preserve"> and Mary Magdalene play in the Easter story.</w:t>
            </w:r>
          </w:p>
          <w:p w14:paraId="1631CCA0" w14:textId="77777777" w:rsidR="00436DBB" w:rsidRPr="00784A97" w:rsidRDefault="00436DBB" w:rsidP="00436DBB">
            <w:pPr>
              <w:pStyle w:val="ListParagraph"/>
              <w:numPr>
                <w:ilvl w:val="0"/>
                <w:numId w:val="23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784A97">
              <w:rPr>
                <w:rFonts w:ascii="Work Sans" w:hAnsi="Work Sans"/>
                <w:sz w:val="16"/>
                <w:szCs w:val="16"/>
              </w:rPr>
              <w:t>What it means to betray, deny, reject those who are different.</w:t>
            </w:r>
          </w:p>
          <w:p w14:paraId="0F83CDBA" w14:textId="77777777" w:rsidR="00436DBB" w:rsidRPr="00784A97" w:rsidRDefault="00436DBB" w:rsidP="00436DBB">
            <w:pPr>
              <w:pStyle w:val="ListParagraph"/>
              <w:numPr>
                <w:ilvl w:val="0"/>
                <w:numId w:val="23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784A97">
              <w:rPr>
                <w:rFonts w:ascii="Work Sans" w:hAnsi="Work Sans"/>
                <w:sz w:val="16"/>
                <w:szCs w:val="16"/>
              </w:rPr>
              <w:t>To understand who might be viewed as the most important person in the Gospel accounts of Holy week and why.</w:t>
            </w:r>
          </w:p>
          <w:p w14:paraId="7302B1CD" w14:textId="0BF1BFA6" w:rsidR="00DA6268" w:rsidRPr="00784A97" w:rsidRDefault="00DA6268" w:rsidP="00E35E2D">
            <w:pPr>
              <w:pStyle w:val="NoSpacing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  <w:tr w:rsidR="00DA6268" w:rsidRPr="00C76668" w14:paraId="051D0698" w14:textId="77777777" w:rsidTr="00DA6268">
        <w:tc>
          <w:tcPr>
            <w:tcW w:w="7442" w:type="dxa"/>
          </w:tcPr>
          <w:p w14:paraId="4DBE4B37" w14:textId="7999AC83" w:rsidR="00DA6268" w:rsidRPr="00784A97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>Summer 1:</w:t>
            </w:r>
            <w:r w:rsidR="00436DBB"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 What did the Buddha teach his followers about life?</w:t>
            </w:r>
          </w:p>
          <w:p w14:paraId="01674783" w14:textId="77777777" w:rsidR="00436DBB" w:rsidRPr="00784A97" w:rsidRDefault="00436DBB" w:rsidP="00436DBB">
            <w:pPr>
              <w:pStyle w:val="NoSpacing"/>
              <w:numPr>
                <w:ilvl w:val="0"/>
                <w:numId w:val="24"/>
              </w:numPr>
              <w:rPr>
                <w:rFonts w:ascii="Work Sans" w:hAnsi="Work Sans" w:cs="Calibri Light"/>
                <w:color w:val="7030A0"/>
                <w:sz w:val="16"/>
                <w:szCs w:val="16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story of Prince Siddhartha and how he became the Buddha.</w:t>
            </w:r>
          </w:p>
          <w:p w14:paraId="722F17E5" w14:textId="77777777" w:rsidR="00436DBB" w:rsidRPr="00784A97" w:rsidRDefault="00436DBB" w:rsidP="00436DBB">
            <w:pPr>
              <w:pStyle w:val="NoSpacing"/>
              <w:numPr>
                <w:ilvl w:val="0"/>
                <w:numId w:val="24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>To know and remember that for a Buddhist the way to end suffering is to follow the four noble truths.</w:t>
            </w:r>
          </w:p>
          <w:p w14:paraId="13B4ABF3" w14:textId="25A761A6" w:rsidR="00436DBB" w:rsidRPr="00784A97" w:rsidRDefault="00436DBB" w:rsidP="00436DBB">
            <w:pPr>
              <w:pStyle w:val="NoSpacing"/>
              <w:numPr>
                <w:ilvl w:val="0"/>
                <w:numId w:val="24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 xml:space="preserve">To know and remember that for a Buddhist nothing is </w:t>
            </w:r>
            <w:r w:rsidR="00784A97" w:rsidRPr="00784A97">
              <w:rPr>
                <w:rFonts w:ascii="Work Sans" w:hAnsi="Work Sans" w:cs="Calibri Light"/>
                <w:sz w:val="16"/>
                <w:szCs w:val="16"/>
              </w:rPr>
              <w:t>permanent,</w:t>
            </w:r>
            <w:r w:rsidRPr="00784A97">
              <w:rPr>
                <w:rFonts w:ascii="Work Sans" w:hAnsi="Work Sans" w:cs="Calibri Light"/>
                <w:sz w:val="16"/>
                <w:szCs w:val="16"/>
              </w:rPr>
              <w:t xml:space="preserve"> and things are always changing.</w:t>
            </w:r>
          </w:p>
          <w:p w14:paraId="15353CC2" w14:textId="77777777" w:rsidR="00436DBB" w:rsidRPr="00784A97" w:rsidRDefault="00436DBB" w:rsidP="00436DBB">
            <w:pPr>
              <w:pStyle w:val="NoSpacing"/>
              <w:numPr>
                <w:ilvl w:val="0"/>
                <w:numId w:val="24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784A97">
              <w:rPr>
                <w:rFonts w:ascii="Work Sans" w:hAnsi="Work Sans" w:cs="Calibri Light"/>
                <w:sz w:val="16"/>
                <w:szCs w:val="16"/>
              </w:rPr>
              <w:t>To know and remember that for a Buddhist kindness and compassion are central to the belief.</w:t>
            </w:r>
          </w:p>
          <w:p w14:paraId="1365CB0F" w14:textId="77777777" w:rsidR="00DA6268" w:rsidRPr="00784A97" w:rsidRDefault="00DA6268" w:rsidP="00784A97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7260D1B9" w14:textId="07438C7A" w:rsidR="00436DBB" w:rsidRPr="00784A97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784A97">
              <w:rPr>
                <w:rFonts w:ascii="Work Sans" w:hAnsi="Work Sans" w:cstheme="minorHAnsi"/>
                <w:b/>
                <w:sz w:val="16"/>
                <w:szCs w:val="16"/>
              </w:rPr>
              <w:t>Summer 2:</w:t>
            </w:r>
            <w:r w:rsidR="00436DBB" w:rsidRPr="00784A97">
              <w:rPr>
                <w:rFonts w:ascii="Work Sans" w:hAnsi="Work Sans" w:cstheme="minorHAnsi"/>
                <w:b/>
                <w:sz w:val="16"/>
                <w:szCs w:val="16"/>
              </w:rPr>
              <w:t xml:space="preserve">  Who is Jesus?</w:t>
            </w:r>
          </w:p>
          <w:p w14:paraId="28EAE521" w14:textId="77777777" w:rsidR="00436DBB" w:rsidRPr="00784A97" w:rsidRDefault="00436DBB" w:rsidP="00436D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core concepts:   Incarnation and Gospel.</w:t>
            </w:r>
          </w:p>
          <w:p w14:paraId="5664DBDC" w14:textId="77777777" w:rsidR="00436DBB" w:rsidRPr="00784A97" w:rsidRDefault="00436DBB" w:rsidP="00436D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‘I am’ statements and their meaning to Christians.</w:t>
            </w:r>
          </w:p>
          <w:p w14:paraId="76535B96" w14:textId="77777777" w:rsidR="00436DBB" w:rsidRPr="00784A97" w:rsidRDefault="00436DBB" w:rsidP="00436DB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784A97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consider how the statements may be relevant and applied to their own lives.</w:t>
            </w:r>
          </w:p>
          <w:p w14:paraId="4A8255A9" w14:textId="11B583CC" w:rsidR="00DA6268" w:rsidRPr="00784A97" w:rsidRDefault="00DA6268" w:rsidP="00E35E2D">
            <w:pPr>
              <w:pStyle w:val="NoSpacing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</w:tbl>
    <w:p w14:paraId="4592B2A9" w14:textId="77777777" w:rsidR="00651367" w:rsidRPr="00C76668" w:rsidRDefault="00651367">
      <w:pPr>
        <w:rPr>
          <w:rFonts w:ascii="Work Sans" w:hAnsi="Work Sans" w:cstheme="minorHAnsi"/>
          <w:sz w:val="20"/>
          <w:szCs w:val="20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156"/>
      </w:tblGrid>
      <w:tr w:rsidR="00651367" w:rsidRPr="00DA6268" w14:paraId="5DE96E17" w14:textId="77777777" w:rsidTr="00DA6268">
        <w:tc>
          <w:tcPr>
            <w:tcW w:w="14885" w:type="dxa"/>
            <w:gridSpan w:val="3"/>
          </w:tcPr>
          <w:p w14:paraId="27DCD523" w14:textId="7B373FFA" w:rsidR="00651367" w:rsidRPr="00DF4033" w:rsidRDefault="00651367" w:rsidP="00DA6268">
            <w:pPr>
              <w:jc w:val="center"/>
              <w:rPr>
                <w:rFonts w:ascii="Work Sans" w:hAnsi="Work Sans" w:cstheme="minorHAnsi"/>
                <w:b/>
                <w:bCs/>
                <w:sz w:val="24"/>
                <w:szCs w:val="24"/>
              </w:rPr>
            </w:pPr>
            <w:r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 xml:space="preserve">This year, children should become confident in the following </w:t>
            </w:r>
            <w:r w:rsidR="00C76668"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>disciplinary knowledge and skills</w:t>
            </w:r>
          </w:p>
        </w:tc>
      </w:tr>
      <w:tr w:rsidR="00651367" w:rsidRPr="00DA6268" w14:paraId="0E77F640" w14:textId="77777777" w:rsidTr="00DA6268">
        <w:trPr>
          <w:trHeight w:val="275"/>
        </w:trPr>
        <w:tc>
          <w:tcPr>
            <w:tcW w:w="5080" w:type="dxa"/>
          </w:tcPr>
          <w:p w14:paraId="5F31420B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7030A0"/>
                <w:sz w:val="28"/>
                <w:szCs w:val="24"/>
              </w:rPr>
              <w:t>Theology (Believing)</w:t>
            </w:r>
          </w:p>
        </w:tc>
        <w:tc>
          <w:tcPr>
            <w:tcW w:w="4649" w:type="dxa"/>
          </w:tcPr>
          <w:p w14:paraId="7FBF8A17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0070C0"/>
                <w:sz w:val="28"/>
                <w:szCs w:val="24"/>
              </w:rPr>
              <w:t>Philosophy (Thinking)</w:t>
            </w:r>
          </w:p>
        </w:tc>
        <w:tc>
          <w:tcPr>
            <w:tcW w:w="5156" w:type="dxa"/>
          </w:tcPr>
          <w:p w14:paraId="72219C59" w14:textId="0D513838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>Human</w:t>
            </w:r>
            <w:r w:rsidR="002A4579">
              <w:rPr>
                <w:rFonts w:cstheme="minorHAnsi"/>
                <w:b/>
                <w:color w:val="00B050"/>
                <w:sz w:val="28"/>
                <w:szCs w:val="24"/>
              </w:rPr>
              <w:t>/</w:t>
            </w: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>Social Science</w:t>
            </w:r>
            <w:r w:rsidR="002A4579">
              <w:rPr>
                <w:rFonts w:cstheme="minorHAnsi"/>
                <w:b/>
                <w:color w:val="00B050"/>
                <w:sz w:val="28"/>
                <w:szCs w:val="24"/>
              </w:rPr>
              <w:t>s</w:t>
            </w: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 xml:space="preserve"> (Living)</w:t>
            </w:r>
          </w:p>
        </w:tc>
      </w:tr>
      <w:tr w:rsidR="00651367" w:rsidRPr="00DA6268" w14:paraId="518F7E49" w14:textId="77777777" w:rsidTr="00DA6268">
        <w:trPr>
          <w:trHeight w:val="275"/>
        </w:trPr>
        <w:tc>
          <w:tcPr>
            <w:tcW w:w="5080" w:type="dxa"/>
          </w:tcPr>
          <w:p w14:paraId="13F5C68E" w14:textId="77777777" w:rsidR="00436DBB" w:rsidRPr="00D76205" w:rsidRDefault="00436DBB" w:rsidP="00436DBB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d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escribe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what a believer might learn from a religious story/sacred text.</w:t>
            </w:r>
          </w:p>
          <w:p w14:paraId="56CEF307" w14:textId="77777777" w:rsidR="00436DBB" w:rsidRPr="00D76205" w:rsidRDefault="00436DBB" w:rsidP="00436DBB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i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 xml:space="preserve">dentify some links 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>between</w:t>
            </w:r>
            <w:r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>beliefs being studied within a religion or worldview.</w:t>
            </w:r>
          </w:p>
          <w:p w14:paraId="03E2C147" w14:textId="0EBBCA6D" w:rsidR="00651367" w:rsidRPr="00DF4033" w:rsidRDefault="00651367" w:rsidP="00E35E2D">
            <w:pPr>
              <w:pStyle w:val="NoSpacing"/>
              <w:ind w:left="360"/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</w:p>
        </w:tc>
        <w:tc>
          <w:tcPr>
            <w:tcW w:w="4649" w:type="dxa"/>
          </w:tcPr>
          <w:p w14:paraId="01682F2E" w14:textId="77777777" w:rsidR="00436DBB" w:rsidRPr="00D76205" w:rsidRDefault="00436DBB" w:rsidP="00436DBB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>I can a</w:t>
            </w:r>
            <w:r w:rsidRPr="00D76205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>sk important questions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about life and compare </w:t>
            </w:r>
            <w:r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my 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>ideas with</w:t>
            </w:r>
            <w:r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other people.</w:t>
            </w:r>
          </w:p>
          <w:p w14:paraId="14E6A4AC" w14:textId="77777777" w:rsidR="00436DBB" w:rsidRPr="00D76205" w:rsidRDefault="00436DBB" w:rsidP="00436DBB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/>
                <w:bCs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>I can li</w:t>
            </w:r>
            <w:r w:rsidRPr="00D76205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>nk things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that are</w:t>
            </w:r>
            <w:r w:rsidRPr="00D76205">
              <w:rPr>
                <w:rFonts w:ascii="Work Sans" w:hAnsi="Work Sans" w:cstheme="minorHAnsi"/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important to </w:t>
            </w:r>
            <w:r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me </w:t>
            </w:r>
            <w:r w:rsidRPr="00D76205">
              <w:rPr>
                <w:rFonts w:ascii="Work Sans" w:hAnsi="Work Sans" w:cstheme="minorHAnsi"/>
                <w:color w:val="0070C0"/>
                <w:sz w:val="16"/>
                <w:szCs w:val="16"/>
              </w:rPr>
              <w:t>and other people with the way they think and behave</w:t>
            </w:r>
            <w:r w:rsidRPr="00D76205">
              <w:rPr>
                <w:rFonts w:ascii="Work Sans" w:hAnsi="Work Sans" w:cstheme="minorHAnsi"/>
                <w:b/>
                <w:bCs/>
                <w:i/>
                <w:iCs/>
                <w:color w:val="0070C0"/>
                <w:sz w:val="16"/>
                <w:szCs w:val="16"/>
              </w:rPr>
              <w:t>.</w:t>
            </w:r>
          </w:p>
          <w:p w14:paraId="49C55008" w14:textId="49333685" w:rsidR="00651367" w:rsidRPr="00DF4033" w:rsidRDefault="00651367" w:rsidP="00E35E2D">
            <w:pPr>
              <w:pStyle w:val="NoSpacing"/>
              <w:ind w:left="360"/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</w:p>
        </w:tc>
        <w:tc>
          <w:tcPr>
            <w:tcW w:w="5156" w:type="dxa"/>
          </w:tcPr>
          <w:p w14:paraId="6886702A" w14:textId="77777777" w:rsidR="00436DBB" w:rsidRPr="00D76205" w:rsidRDefault="00436DBB" w:rsidP="00436DBB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d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escribe and begin to make links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between some of the things that are the same and different for religious people.</w:t>
            </w:r>
          </w:p>
          <w:p w14:paraId="0889EF53" w14:textId="77777777" w:rsidR="00436DBB" w:rsidRDefault="00436DBB" w:rsidP="00436DBB">
            <w:pPr>
              <w:pStyle w:val="NoSpacing"/>
              <w:numPr>
                <w:ilvl w:val="0"/>
                <w:numId w:val="18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 w:rsidRPr="00605224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use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religious vocabulary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to 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describe 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>some of the different ways</w:t>
            </w:r>
            <w:r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people live and express their belief or worldview.</w:t>
            </w:r>
          </w:p>
          <w:p w14:paraId="1B1495E3" w14:textId="77777777" w:rsidR="000E15CF" w:rsidRPr="00DF4033" w:rsidRDefault="000E15CF" w:rsidP="000E15CF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56DEFA51" w14:textId="77777777" w:rsidR="00AF6059" w:rsidRPr="00DF4033" w:rsidRDefault="00AF6059" w:rsidP="00AF6059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73CE6F44" w14:textId="77777777" w:rsidR="00651367" w:rsidRPr="00DF4033" w:rsidRDefault="0065136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EC96A8" w14:textId="77777777" w:rsidR="00000000" w:rsidRDefault="00000000"/>
    <w:sectPr w:rsidR="009175D4" w:rsidSect="00DA626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EEB"/>
    <w:multiLevelType w:val="hybridMultilevel"/>
    <w:tmpl w:val="191A7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247D"/>
    <w:multiLevelType w:val="hybridMultilevel"/>
    <w:tmpl w:val="3558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A4CB8"/>
    <w:multiLevelType w:val="hybridMultilevel"/>
    <w:tmpl w:val="F8A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2AD9"/>
    <w:multiLevelType w:val="hybridMultilevel"/>
    <w:tmpl w:val="3D4A9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E46CA"/>
    <w:multiLevelType w:val="hybridMultilevel"/>
    <w:tmpl w:val="8FA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FCA"/>
    <w:multiLevelType w:val="hybridMultilevel"/>
    <w:tmpl w:val="9BF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EAB"/>
    <w:multiLevelType w:val="hybridMultilevel"/>
    <w:tmpl w:val="E640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C29BE"/>
    <w:multiLevelType w:val="hybridMultilevel"/>
    <w:tmpl w:val="6CFC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F3B73"/>
    <w:multiLevelType w:val="hybridMultilevel"/>
    <w:tmpl w:val="5634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671E1"/>
    <w:multiLevelType w:val="hybridMultilevel"/>
    <w:tmpl w:val="A3242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2327F"/>
    <w:multiLevelType w:val="hybridMultilevel"/>
    <w:tmpl w:val="3B744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43D1E"/>
    <w:multiLevelType w:val="hybridMultilevel"/>
    <w:tmpl w:val="E98A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2094"/>
    <w:multiLevelType w:val="hybridMultilevel"/>
    <w:tmpl w:val="E856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124BB"/>
    <w:multiLevelType w:val="hybridMultilevel"/>
    <w:tmpl w:val="9A9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219D8"/>
    <w:multiLevelType w:val="hybridMultilevel"/>
    <w:tmpl w:val="6242FBF2"/>
    <w:lvl w:ilvl="0" w:tplc="F9C24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C3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8CE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A9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BE4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C8F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140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1ECB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6C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4D001CA"/>
    <w:multiLevelType w:val="hybridMultilevel"/>
    <w:tmpl w:val="8146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3AA7"/>
    <w:multiLevelType w:val="hybridMultilevel"/>
    <w:tmpl w:val="32E4D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E598A"/>
    <w:multiLevelType w:val="hybridMultilevel"/>
    <w:tmpl w:val="722EB872"/>
    <w:lvl w:ilvl="0" w:tplc="608C4B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D03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70C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8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7A0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8AE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84C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420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64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C9B7456"/>
    <w:multiLevelType w:val="hybridMultilevel"/>
    <w:tmpl w:val="C218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C2D17"/>
    <w:multiLevelType w:val="hybridMultilevel"/>
    <w:tmpl w:val="278A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E33274"/>
    <w:multiLevelType w:val="hybridMultilevel"/>
    <w:tmpl w:val="A03A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D0C70"/>
    <w:multiLevelType w:val="hybridMultilevel"/>
    <w:tmpl w:val="D2C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77EFE"/>
    <w:multiLevelType w:val="hybridMultilevel"/>
    <w:tmpl w:val="1966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D1798"/>
    <w:multiLevelType w:val="hybridMultilevel"/>
    <w:tmpl w:val="B03E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589567">
    <w:abstractNumId w:val="7"/>
  </w:num>
  <w:num w:numId="2" w16cid:durableId="91821084">
    <w:abstractNumId w:val="17"/>
  </w:num>
  <w:num w:numId="3" w16cid:durableId="965740858">
    <w:abstractNumId w:val="14"/>
  </w:num>
  <w:num w:numId="4" w16cid:durableId="732654025">
    <w:abstractNumId w:val="19"/>
  </w:num>
  <w:num w:numId="5" w16cid:durableId="474954184">
    <w:abstractNumId w:val="1"/>
  </w:num>
  <w:num w:numId="6" w16cid:durableId="573197114">
    <w:abstractNumId w:val="23"/>
  </w:num>
  <w:num w:numId="7" w16cid:durableId="998728640">
    <w:abstractNumId w:val="5"/>
  </w:num>
  <w:num w:numId="8" w16cid:durableId="1803766827">
    <w:abstractNumId w:val="13"/>
  </w:num>
  <w:num w:numId="9" w16cid:durableId="819930935">
    <w:abstractNumId w:val="15"/>
  </w:num>
  <w:num w:numId="10" w16cid:durableId="2019850131">
    <w:abstractNumId w:val="11"/>
  </w:num>
  <w:num w:numId="11" w16cid:durableId="371735437">
    <w:abstractNumId w:val="2"/>
  </w:num>
  <w:num w:numId="12" w16cid:durableId="389888589">
    <w:abstractNumId w:val="18"/>
  </w:num>
  <w:num w:numId="13" w16cid:durableId="1729262219">
    <w:abstractNumId w:val="21"/>
  </w:num>
  <w:num w:numId="14" w16cid:durableId="1263028289">
    <w:abstractNumId w:val="4"/>
  </w:num>
  <w:num w:numId="15" w16cid:durableId="1494494119">
    <w:abstractNumId w:val="22"/>
  </w:num>
  <w:num w:numId="16" w16cid:durableId="250938961">
    <w:abstractNumId w:val="16"/>
  </w:num>
  <w:num w:numId="17" w16cid:durableId="126363760">
    <w:abstractNumId w:val="12"/>
  </w:num>
  <w:num w:numId="18" w16cid:durableId="65687119">
    <w:abstractNumId w:val="9"/>
  </w:num>
  <w:num w:numId="19" w16cid:durableId="1339694655">
    <w:abstractNumId w:val="0"/>
  </w:num>
  <w:num w:numId="20" w16cid:durableId="1108965494">
    <w:abstractNumId w:val="14"/>
  </w:num>
  <w:num w:numId="21" w16cid:durableId="354430110">
    <w:abstractNumId w:val="10"/>
  </w:num>
  <w:num w:numId="22" w16cid:durableId="2074891566">
    <w:abstractNumId w:val="8"/>
  </w:num>
  <w:num w:numId="23" w16cid:durableId="1005598612">
    <w:abstractNumId w:val="19"/>
  </w:num>
  <w:num w:numId="24" w16cid:durableId="1852795860">
    <w:abstractNumId w:val="6"/>
  </w:num>
  <w:num w:numId="25" w16cid:durableId="297271996">
    <w:abstractNumId w:val="20"/>
  </w:num>
  <w:num w:numId="26" w16cid:durableId="2051562564">
    <w:abstractNumId w:val="3"/>
  </w:num>
  <w:num w:numId="27" w16cid:durableId="81993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7"/>
    <w:rsid w:val="000E15CF"/>
    <w:rsid w:val="00125A41"/>
    <w:rsid w:val="002A4579"/>
    <w:rsid w:val="0040199C"/>
    <w:rsid w:val="00436DBB"/>
    <w:rsid w:val="004E5199"/>
    <w:rsid w:val="005C135E"/>
    <w:rsid w:val="00651367"/>
    <w:rsid w:val="006F26CC"/>
    <w:rsid w:val="007769C4"/>
    <w:rsid w:val="00784A97"/>
    <w:rsid w:val="00785B21"/>
    <w:rsid w:val="009159F9"/>
    <w:rsid w:val="00A93CA5"/>
    <w:rsid w:val="00AE44E8"/>
    <w:rsid w:val="00AF6059"/>
    <w:rsid w:val="00C11045"/>
    <w:rsid w:val="00C76668"/>
    <w:rsid w:val="00D830D5"/>
    <w:rsid w:val="00DA6268"/>
    <w:rsid w:val="00DD064F"/>
    <w:rsid w:val="00DF4033"/>
    <w:rsid w:val="00E35E2D"/>
    <w:rsid w:val="00E6032B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8FED"/>
  <w15:chartTrackingRefBased/>
  <w15:docId w15:val="{B2EE2CF7-4D58-4CC8-AF75-206F742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6CC"/>
    <w:pPr>
      <w:spacing w:after="20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thorne</cp:lastModifiedBy>
  <cp:revision>2</cp:revision>
  <cp:lastPrinted>2023-03-08T21:32:00Z</cp:lastPrinted>
  <dcterms:created xsi:type="dcterms:W3CDTF">2023-09-18T13:34:00Z</dcterms:created>
  <dcterms:modified xsi:type="dcterms:W3CDTF">2023-09-18T13:34:00Z</dcterms:modified>
</cp:coreProperties>
</file>