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B23D" w14:textId="4DBE4AB4" w:rsidR="008E0DFF" w:rsidRDefault="00437DDC">
      <w:pPr>
        <w:rPr>
          <w:b/>
          <w:bCs/>
          <w:sz w:val="40"/>
          <w:szCs w:val="40"/>
        </w:rPr>
      </w:pPr>
      <w:r w:rsidRPr="00437DDC">
        <w:rPr>
          <w:b/>
          <w:bCs/>
          <w:sz w:val="40"/>
          <w:szCs w:val="40"/>
        </w:rPr>
        <w:t>LDBS Model Pay Policy</w:t>
      </w:r>
      <w:r>
        <w:rPr>
          <w:b/>
          <w:bCs/>
          <w:sz w:val="40"/>
          <w:szCs w:val="40"/>
        </w:rPr>
        <w:t xml:space="preserve"> - 2021/22</w:t>
      </w:r>
    </w:p>
    <w:p w14:paraId="43774663" w14:textId="77777777" w:rsidR="00437DDC" w:rsidRDefault="00437DDC">
      <w:pPr>
        <w:rPr>
          <w:b/>
          <w:bCs/>
        </w:rPr>
      </w:pPr>
    </w:p>
    <w:p w14:paraId="51F85477" w14:textId="77777777" w:rsidR="00437DDC" w:rsidRDefault="00437DDC">
      <w:pPr>
        <w:rPr>
          <w:b/>
          <w:bCs/>
        </w:rPr>
      </w:pPr>
    </w:p>
    <w:p w14:paraId="1844C86A" w14:textId="3ECD2B5A" w:rsidR="00437DDC" w:rsidRDefault="00437DDC">
      <w:pPr>
        <w:rPr>
          <w:b/>
          <w:bCs/>
        </w:rPr>
      </w:pPr>
      <w:r>
        <w:rPr>
          <w:b/>
          <w:bCs/>
        </w:rPr>
        <w:t>The Governing Body of _________________________________ School adopted this policy on____________________</w:t>
      </w:r>
    </w:p>
    <w:p w14:paraId="6004F888" w14:textId="6F69A3EB" w:rsidR="00437DDC" w:rsidRPr="00437DDC" w:rsidRDefault="00437DDC">
      <w:r>
        <w:rPr>
          <w:b/>
          <w:bCs/>
        </w:rPr>
        <w:t>Introduction</w:t>
      </w:r>
    </w:p>
    <w:p w14:paraId="58ADEBDD" w14:textId="013FD5D9" w:rsidR="00437DDC" w:rsidRDefault="00437DDC">
      <w:r>
        <w:t>This policy sets out the framework for making decisions on teachers’ pay.  It has been developed to comply with current legislation and the requirements of the School Teachers’ Pay and Conditions Document (STPCD)</w:t>
      </w:r>
      <w:r w:rsidR="00811368">
        <w:t xml:space="preserve"> and has been consulted on with recognised trade unions.</w:t>
      </w:r>
    </w:p>
    <w:p w14:paraId="08FB8528" w14:textId="6F07426E" w:rsidR="00811368" w:rsidRDefault="00811368">
      <w:r>
        <w:t xml:space="preserve">In adopting this </w:t>
      </w:r>
      <w:proofErr w:type="gramStart"/>
      <w:r>
        <w:t>policy</w:t>
      </w:r>
      <w:proofErr w:type="gramEnd"/>
      <w:r>
        <w:t xml:space="preserve"> the aim is to:</w:t>
      </w:r>
    </w:p>
    <w:p w14:paraId="08130A41" w14:textId="048C6F20" w:rsidR="00811368" w:rsidRDefault="00811368" w:rsidP="00811368">
      <w:pPr>
        <w:pStyle w:val="ListParagraph"/>
        <w:numPr>
          <w:ilvl w:val="0"/>
          <w:numId w:val="1"/>
        </w:numPr>
      </w:pPr>
      <w:r>
        <w:t xml:space="preserve">Recognise and reward teachers appropriately for their contribution to the </w:t>
      </w:r>
      <w:proofErr w:type="gramStart"/>
      <w:r>
        <w:t>School</w:t>
      </w:r>
      <w:r w:rsidR="00405956">
        <w:t>;</w:t>
      </w:r>
      <w:proofErr w:type="gramEnd"/>
    </w:p>
    <w:p w14:paraId="231D162A" w14:textId="18D85400" w:rsidR="00811368" w:rsidRDefault="00811368" w:rsidP="00811368">
      <w:pPr>
        <w:pStyle w:val="ListParagraph"/>
        <w:numPr>
          <w:ilvl w:val="0"/>
          <w:numId w:val="1"/>
        </w:numPr>
      </w:pPr>
      <w:r>
        <w:t xml:space="preserve">Ensure that decisions on pay are managed in a fair, just and transparent way focusing on the central importance of </w:t>
      </w:r>
      <w:r w:rsidR="00EC4142">
        <w:t>high-quality</w:t>
      </w:r>
      <w:r>
        <w:t xml:space="preserve"> teaching and learning, improving standards and making a positive impact on pupil progress and </w:t>
      </w:r>
      <w:proofErr w:type="gramStart"/>
      <w:r>
        <w:t>outcomes</w:t>
      </w:r>
      <w:r w:rsidR="00405956">
        <w:t>;</w:t>
      </w:r>
      <w:proofErr w:type="gramEnd"/>
    </w:p>
    <w:p w14:paraId="33DFCC2E" w14:textId="74867BB4" w:rsidR="00811368" w:rsidRDefault="00811368" w:rsidP="00811368">
      <w:pPr>
        <w:pStyle w:val="ListParagraph"/>
        <w:numPr>
          <w:ilvl w:val="0"/>
          <w:numId w:val="1"/>
        </w:numPr>
      </w:pPr>
      <w:r>
        <w:t xml:space="preserve">Ensure accountability, transparency, </w:t>
      </w:r>
      <w:proofErr w:type="gramStart"/>
      <w:r>
        <w:t>objectivity</w:t>
      </w:r>
      <w:proofErr w:type="gramEnd"/>
      <w:r>
        <w:t xml:space="preserve"> and equality of opportunity.</w:t>
      </w:r>
    </w:p>
    <w:p w14:paraId="4D340DAF" w14:textId="126328ED" w:rsidR="00C2283C" w:rsidRDefault="00C2283C" w:rsidP="00C2283C">
      <w:r>
        <w:t xml:space="preserve">Pay decisions at this school are made by the Governing Body which has delegated certain responsibilities and </w:t>
      </w:r>
      <w:r w:rsidR="00EC4142">
        <w:t>decision-making</w:t>
      </w:r>
      <w:r>
        <w:t xml:space="preserve"> powers to the Pay Committee </w:t>
      </w:r>
      <w:r w:rsidR="00EC4142">
        <w:t>as set</w:t>
      </w:r>
      <w:r>
        <w:t xml:space="preserve"> out in Appendix 1. The Pay Committee shall be responsible for the establishment and review of the pay policy, subject to the approval of the Governing Body in accordance with this policy. The Headteacher/Executive Headteacher/Principal shall be responsible for advising the Pay Committee on its decisions. </w:t>
      </w:r>
    </w:p>
    <w:p w14:paraId="17DF7607" w14:textId="3FAEABC7" w:rsidR="00C2283C" w:rsidRDefault="00C2283C" w:rsidP="00C2283C">
      <w:r>
        <w:rPr>
          <w:b/>
          <w:bCs/>
        </w:rPr>
        <w:t>Pay Reviews</w:t>
      </w:r>
      <w:r>
        <w:t xml:space="preserve"> </w:t>
      </w:r>
    </w:p>
    <w:p w14:paraId="2B00D972" w14:textId="01719EDE" w:rsidR="00C2283C" w:rsidRDefault="00D924F5" w:rsidP="00C2283C">
      <w:r>
        <w:t xml:space="preserve">The Governing Body will ensure that each teacher’s salary is reviewed annually with effect from 1 </w:t>
      </w:r>
      <w:proofErr w:type="gramStart"/>
      <w:r>
        <w:t>September</w:t>
      </w:r>
      <w:r w:rsidR="00405956">
        <w:t xml:space="preserve">; </w:t>
      </w:r>
      <w:r>
        <w:t xml:space="preserve"> that</w:t>
      </w:r>
      <w:proofErr w:type="gramEnd"/>
      <w:r>
        <w:t xml:space="preserve"> each teacher is notified of the outcome by no later than 31</w:t>
      </w:r>
      <w:r w:rsidR="00EC4142" w:rsidRPr="00EC4142">
        <w:rPr>
          <w:vertAlign w:val="superscript"/>
        </w:rPr>
        <w:t>st</w:t>
      </w:r>
      <w:r w:rsidR="00EC4142">
        <w:t xml:space="preserve"> </w:t>
      </w:r>
      <w:r>
        <w:t>October each year</w:t>
      </w:r>
      <w:r w:rsidR="00405956">
        <w:t xml:space="preserve">; </w:t>
      </w:r>
      <w:r>
        <w:t>and that all teachers are given a written statement setting out their salary and any other financial benefits to which they are entitled.</w:t>
      </w:r>
    </w:p>
    <w:p w14:paraId="1FF02D57" w14:textId="4A5F8F18" w:rsidR="00D924F5" w:rsidRDefault="00D924F5" w:rsidP="00C2283C">
      <w:r>
        <w:t xml:space="preserve">Reviews may take place at other times of the year to reflect any changes in circumstances or job description that </w:t>
      </w:r>
      <w:proofErr w:type="gramStart"/>
      <w:r>
        <w:t>lead</w:t>
      </w:r>
      <w:proofErr w:type="gramEnd"/>
      <w:r>
        <w:t xml:space="preserve"> to a change in the basis for calculating an individual’s pay.  A written statement will be given after any review and where applicable will give information about the basis on which it was made.</w:t>
      </w:r>
    </w:p>
    <w:p w14:paraId="4F0177D7" w14:textId="2426503E" w:rsidR="00D924F5" w:rsidRDefault="00D924F5" w:rsidP="00C2283C">
      <w:r>
        <w:t>Where a pay determination leads or may lead to the start of a period of safeguarding, the Governing Body will give the required notification as soon as possible and no later than one month after the date of the determination.</w:t>
      </w:r>
    </w:p>
    <w:p w14:paraId="6CE13170" w14:textId="31E5F504" w:rsidR="00D924F5" w:rsidRDefault="00D924F5" w:rsidP="00C2283C">
      <w:pPr>
        <w:rPr>
          <w:b/>
          <w:bCs/>
        </w:rPr>
      </w:pPr>
      <w:r>
        <w:rPr>
          <w:b/>
          <w:bCs/>
        </w:rPr>
        <w:t xml:space="preserve">Basic Pay Determination </w:t>
      </w:r>
      <w:r w:rsidR="00405956">
        <w:rPr>
          <w:b/>
          <w:bCs/>
        </w:rPr>
        <w:t>o</w:t>
      </w:r>
      <w:r>
        <w:rPr>
          <w:b/>
          <w:bCs/>
        </w:rPr>
        <w:t>n Appointment</w:t>
      </w:r>
    </w:p>
    <w:p w14:paraId="6DC458F5" w14:textId="4060ACA3" w:rsidR="00D924F5" w:rsidRDefault="00FD36AD" w:rsidP="00C2283C">
      <w:r>
        <w:t>The Governing Body will determine the pay range for a vacancy prior to advertising it. On appointment it will determine the starting salary within that range to be offered to the successful candidate.</w:t>
      </w:r>
    </w:p>
    <w:p w14:paraId="63AC1310" w14:textId="77777777" w:rsidR="00D53150" w:rsidRDefault="00D53150" w:rsidP="00C2283C">
      <w:pPr>
        <w:rPr>
          <w:i/>
          <w:iCs/>
        </w:rPr>
      </w:pPr>
    </w:p>
    <w:p w14:paraId="2F89FF8B" w14:textId="77777777" w:rsidR="00D53150" w:rsidRDefault="00D53150" w:rsidP="00C2283C">
      <w:pPr>
        <w:rPr>
          <w:i/>
          <w:iCs/>
        </w:rPr>
      </w:pPr>
    </w:p>
    <w:p w14:paraId="704B84F5" w14:textId="5B643D21" w:rsidR="00FD36AD" w:rsidRDefault="00FD36AD" w:rsidP="00C2283C">
      <w:r>
        <w:rPr>
          <w:i/>
          <w:iCs/>
        </w:rPr>
        <w:lastRenderedPageBreak/>
        <w:t>Classroom Teacher Posts</w:t>
      </w:r>
    </w:p>
    <w:p w14:paraId="76C6DFAE" w14:textId="5C2DE5D2" w:rsidR="00FD36AD" w:rsidRDefault="00FD36AD" w:rsidP="00C2283C">
      <w:r>
        <w:t xml:space="preserve">The Governing Body has established the following pay scales for classroom teacher posts paid on the Main Pay Range and Upper Pay </w:t>
      </w:r>
      <w:proofErr w:type="gramStart"/>
      <w:r>
        <w:t>Range</w:t>
      </w:r>
      <w:r w:rsidR="00D71137">
        <w:t>;</w:t>
      </w:r>
      <w:proofErr w:type="gramEnd"/>
    </w:p>
    <w:p w14:paraId="5DBBB77B" w14:textId="4C98E793" w:rsidR="00D71137" w:rsidRPr="00D71137" w:rsidRDefault="00EC4142" w:rsidP="00D71137">
      <w:r w:rsidRPr="00D71137">
        <w:rPr>
          <w:b/>
        </w:rPr>
        <w:t>Main Pay Range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D71137" w:rsidRPr="00D71137" w14:paraId="6F80D48C" w14:textId="77777777" w:rsidTr="00D53150">
        <w:trPr>
          <w:trHeight w:hRule="exact" w:val="645"/>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057ABFEE" w14:textId="77777777" w:rsidR="00D71137" w:rsidRPr="00D71137" w:rsidRDefault="00D71137" w:rsidP="00D53150">
            <w:pPr>
              <w:spacing w:after="0" w:line="240" w:lineRule="auto"/>
              <w:jc w:val="center"/>
            </w:pPr>
          </w:p>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5121C38F" w14:textId="77777777" w:rsidR="00D71137" w:rsidRPr="00D71137" w:rsidRDefault="00D71137" w:rsidP="00D53150">
            <w:pPr>
              <w:spacing w:after="0" w:line="240" w:lineRule="auto"/>
              <w:jc w:val="center"/>
            </w:pPr>
            <w:r w:rsidRPr="00D71137">
              <w:t>Inner London Area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17582456" w14:textId="77777777" w:rsidR="00D71137" w:rsidRPr="00D71137" w:rsidRDefault="00D71137" w:rsidP="00D53150">
            <w:pPr>
              <w:spacing w:after="0" w:line="240" w:lineRule="auto"/>
              <w:jc w:val="center"/>
            </w:pPr>
            <w:r w:rsidRPr="00D71137">
              <w:t>Outer London</w:t>
            </w:r>
          </w:p>
          <w:p w14:paraId="2B76B37C" w14:textId="77777777" w:rsidR="00D71137" w:rsidRPr="00D71137" w:rsidRDefault="00D71137" w:rsidP="00D53150">
            <w:pPr>
              <w:spacing w:after="0" w:line="240" w:lineRule="auto"/>
              <w:jc w:val="center"/>
            </w:pPr>
            <w:r w:rsidRPr="00D71137">
              <w:t>Area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03D07763" w14:textId="77777777" w:rsidR="00D71137" w:rsidRPr="00D71137" w:rsidRDefault="00D71137" w:rsidP="00D53150">
            <w:pPr>
              <w:spacing w:after="0" w:line="240" w:lineRule="auto"/>
              <w:jc w:val="center"/>
            </w:pPr>
            <w:r w:rsidRPr="00D71137">
              <w:t>Fringe Area</w:t>
            </w:r>
          </w:p>
        </w:tc>
      </w:tr>
      <w:tr w:rsidR="00D71137" w:rsidRPr="00D71137" w14:paraId="2ED14EB5" w14:textId="77777777" w:rsidTr="006971D1">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3C66F8EB" w14:textId="77777777" w:rsidR="00D71137" w:rsidRPr="00D71137" w:rsidRDefault="00D71137" w:rsidP="00D71137">
            <w:pPr>
              <w:jc w:val="center"/>
            </w:pPr>
            <w:r w:rsidRPr="00D71137">
              <w:t>1(minimum)</w:t>
            </w:r>
          </w:p>
        </w:tc>
        <w:tc>
          <w:tcPr>
            <w:tcW w:w="1848" w:type="dxa"/>
            <w:tcBorders>
              <w:top w:val="single" w:sz="5" w:space="0" w:color="000000"/>
              <w:left w:val="single" w:sz="5" w:space="0" w:color="000000"/>
              <w:bottom w:val="single" w:sz="5" w:space="0" w:color="000000"/>
              <w:right w:val="single" w:sz="5" w:space="0" w:color="000000"/>
            </w:tcBorders>
          </w:tcPr>
          <w:p w14:paraId="5568252A" w14:textId="77777777" w:rsidR="00D71137" w:rsidRPr="00D71137" w:rsidRDefault="00D71137" w:rsidP="00D71137">
            <w:pPr>
              <w:jc w:val="center"/>
            </w:pPr>
            <w:r w:rsidRPr="00D71137">
              <w:t>£32,157</w:t>
            </w:r>
          </w:p>
        </w:tc>
        <w:tc>
          <w:tcPr>
            <w:tcW w:w="1850" w:type="dxa"/>
            <w:tcBorders>
              <w:top w:val="single" w:sz="5" w:space="0" w:color="000000"/>
              <w:left w:val="single" w:sz="5" w:space="0" w:color="000000"/>
              <w:bottom w:val="single" w:sz="5" w:space="0" w:color="000000"/>
              <w:right w:val="single" w:sz="5" w:space="0" w:color="000000"/>
            </w:tcBorders>
          </w:tcPr>
          <w:p w14:paraId="17669547" w14:textId="77777777" w:rsidR="00D71137" w:rsidRPr="00D71137" w:rsidRDefault="00D71137" w:rsidP="00D71137">
            <w:pPr>
              <w:jc w:val="center"/>
            </w:pPr>
            <w:r w:rsidRPr="00D71137">
              <w:t>£29,915</w:t>
            </w:r>
          </w:p>
        </w:tc>
        <w:tc>
          <w:tcPr>
            <w:tcW w:w="1849" w:type="dxa"/>
            <w:tcBorders>
              <w:top w:val="single" w:sz="5" w:space="0" w:color="000000"/>
              <w:left w:val="single" w:sz="5" w:space="0" w:color="000000"/>
              <w:bottom w:val="single" w:sz="5" w:space="0" w:color="000000"/>
              <w:right w:val="single" w:sz="5" w:space="0" w:color="000000"/>
            </w:tcBorders>
          </w:tcPr>
          <w:p w14:paraId="5579702D" w14:textId="77777777" w:rsidR="00D71137" w:rsidRPr="00D71137" w:rsidRDefault="00D71137" w:rsidP="00D71137">
            <w:pPr>
              <w:jc w:val="center"/>
            </w:pPr>
            <w:r w:rsidRPr="00D71137">
              <w:t>£26,948</w:t>
            </w:r>
          </w:p>
        </w:tc>
      </w:tr>
      <w:tr w:rsidR="00D71137" w:rsidRPr="00D71137" w14:paraId="417FC64D"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EC53FDC" w14:textId="77777777" w:rsidR="00D71137" w:rsidRPr="00D71137" w:rsidRDefault="00D71137" w:rsidP="00D71137">
            <w:pPr>
              <w:jc w:val="center"/>
            </w:pPr>
            <w:r w:rsidRPr="00D71137">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602FA70C" w14:textId="77777777" w:rsidR="00D71137" w:rsidRPr="00D71137" w:rsidRDefault="00D71137" w:rsidP="00D71137">
            <w:pPr>
              <w:jc w:val="center"/>
            </w:pPr>
            <w:r w:rsidRPr="00D71137">
              <w:t>£33,658</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1F28662E" w14:textId="77777777" w:rsidR="00D71137" w:rsidRPr="00D71137" w:rsidRDefault="00D71137" w:rsidP="00D71137">
            <w:pPr>
              <w:jc w:val="center"/>
            </w:pPr>
            <w:r w:rsidRPr="00D71137">
              <w:t>£31,604</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6BE4BEFC" w14:textId="77777777" w:rsidR="00D71137" w:rsidRPr="00D71137" w:rsidRDefault="00D71137" w:rsidP="00D71137">
            <w:pPr>
              <w:jc w:val="center"/>
            </w:pPr>
            <w:r w:rsidRPr="00D71137">
              <w:t>£28,828</w:t>
            </w:r>
          </w:p>
        </w:tc>
      </w:tr>
      <w:tr w:rsidR="00D71137" w:rsidRPr="00D71137" w14:paraId="3D938D6E" w14:textId="77777777" w:rsidTr="006971D1">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5DE76272" w14:textId="77777777" w:rsidR="00D71137" w:rsidRPr="00D71137" w:rsidRDefault="00D71137" w:rsidP="00D71137">
            <w:pPr>
              <w:jc w:val="center"/>
            </w:pPr>
            <w:r w:rsidRPr="00D71137">
              <w:t>3</w:t>
            </w:r>
          </w:p>
        </w:tc>
        <w:tc>
          <w:tcPr>
            <w:tcW w:w="1848" w:type="dxa"/>
            <w:tcBorders>
              <w:top w:val="single" w:sz="5" w:space="0" w:color="000000"/>
              <w:left w:val="single" w:sz="5" w:space="0" w:color="000000"/>
              <w:bottom w:val="single" w:sz="5" w:space="0" w:color="000000"/>
              <w:right w:val="single" w:sz="5" w:space="0" w:color="000000"/>
            </w:tcBorders>
          </w:tcPr>
          <w:p w14:paraId="10B88D87" w14:textId="77777777" w:rsidR="00D71137" w:rsidRPr="00D71137" w:rsidRDefault="00D71137" w:rsidP="00D71137">
            <w:pPr>
              <w:jc w:val="center"/>
            </w:pPr>
            <w:r w:rsidRPr="00D71137">
              <w:t>£35,226</w:t>
            </w:r>
          </w:p>
        </w:tc>
        <w:tc>
          <w:tcPr>
            <w:tcW w:w="1850" w:type="dxa"/>
            <w:tcBorders>
              <w:top w:val="single" w:sz="5" w:space="0" w:color="000000"/>
              <w:left w:val="single" w:sz="5" w:space="0" w:color="000000"/>
              <w:bottom w:val="single" w:sz="5" w:space="0" w:color="000000"/>
              <w:right w:val="single" w:sz="5" w:space="0" w:color="000000"/>
            </w:tcBorders>
          </w:tcPr>
          <w:p w14:paraId="131A2CEB" w14:textId="77777777" w:rsidR="00D71137" w:rsidRPr="00D71137" w:rsidRDefault="00D71137" w:rsidP="00D71137">
            <w:pPr>
              <w:jc w:val="center"/>
            </w:pPr>
            <w:r w:rsidRPr="00D71137">
              <w:t>£33,383</w:t>
            </w:r>
          </w:p>
        </w:tc>
        <w:tc>
          <w:tcPr>
            <w:tcW w:w="1849" w:type="dxa"/>
            <w:tcBorders>
              <w:top w:val="single" w:sz="5" w:space="0" w:color="000000"/>
              <w:left w:val="single" w:sz="5" w:space="0" w:color="000000"/>
              <w:bottom w:val="single" w:sz="5" w:space="0" w:color="000000"/>
              <w:right w:val="single" w:sz="5" w:space="0" w:color="000000"/>
            </w:tcBorders>
          </w:tcPr>
          <w:p w14:paraId="6E39E1AD" w14:textId="77777777" w:rsidR="00D71137" w:rsidRPr="00D71137" w:rsidRDefault="00D71137" w:rsidP="00D71137">
            <w:pPr>
              <w:jc w:val="center"/>
            </w:pPr>
            <w:r w:rsidRPr="00D71137">
              <w:t>£30,883</w:t>
            </w:r>
          </w:p>
        </w:tc>
      </w:tr>
      <w:tr w:rsidR="00D71137" w:rsidRPr="00D71137" w14:paraId="2FD0F026"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60A577DF" w14:textId="77777777" w:rsidR="00D71137" w:rsidRPr="00D71137" w:rsidRDefault="00D71137" w:rsidP="00D71137">
            <w:pPr>
              <w:jc w:val="center"/>
            </w:pPr>
            <w:r w:rsidRPr="00D71137">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46F487B8" w14:textId="77777777" w:rsidR="00D71137" w:rsidRPr="00D71137" w:rsidRDefault="00D71137" w:rsidP="00D71137">
            <w:pPr>
              <w:jc w:val="center"/>
            </w:pPr>
            <w:r w:rsidRPr="00D71137">
              <w:t>£36,866</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2E07724A" w14:textId="77777777" w:rsidR="00D71137" w:rsidRPr="00D71137" w:rsidRDefault="00D71137" w:rsidP="00D71137">
            <w:pPr>
              <w:jc w:val="center"/>
            </w:pPr>
            <w:r w:rsidRPr="00D71137">
              <w:t>£35,264</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6EB84F8E" w14:textId="77777777" w:rsidR="00D71137" w:rsidRPr="00D71137" w:rsidRDefault="00D71137" w:rsidP="00D71137">
            <w:pPr>
              <w:jc w:val="center"/>
            </w:pPr>
            <w:r w:rsidRPr="00D71137">
              <w:t>£32,999</w:t>
            </w:r>
          </w:p>
        </w:tc>
      </w:tr>
      <w:tr w:rsidR="00D71137" w:rsidRPr="00D71137" w14:paraId="373434AB" w14:textId="77777777" w:rsidTr="006971D1">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7D99BB7E" w14:textId="77777777" w:rsidR="00D71137" w:rsidRPr="00D71137" w:rsidRDefault="00D71137" w:rsidP="00D71137">
            <w:pPr>
              <w:jc w:val="center"/>
            </w:pPr>
            <w:r w:rsidRPr="00D71137">
              <w:t>5</w:t>
            </w:r>
          </w:p>
        </w:tc>
        <w:tc>
          <w:tcPr>
            <w:tcW w:w="1848" w:type="dxa"/>
            <w:tcBorders>
              <w:top w:val="single" w:sz="5" w:space="0" w:color="000000"/>
              <w:left w:val="single" w:sz="5" w:space="0" w:color="000000"/>
              <w:bottom w:val="single" w:sz="5" w:space="0" w:color="000000"/>
              <w:right w:val="single" w:sz="5" w:space="0" w:color="000000"/>
            </w:tcBorders>
          </w:tcPr>
          <w:p w14:paraId="0DBABAE0" w14:textId="77777777" w:rsidR="00D71137" w:rsidRPr="00D71137" w:rsidRDefault="00D71137" w:rsidP="00D71137">
            <w:pPr>
              <w:jc w:val="center"/>
            </w:pPr>
            <w:r w:rsidRPr="00D71137">
              <w:t>£39,492</w:t>
            </w:r>
          </w:p>
        </w:tc>
        <w:tc>
          <w:tcPr>
            <w:tcW w:w="1850" w:type="dxa"/>
            <w:tcBorders>
              <w:top w:val="single" w:sz="5" w:space="0" w:color="000000"/>
              <w:left w:val="single" w:sz="5" w:space="0" w:color="000000"/>
              <w:bottom w:val="single" w:sz="5" w:space="0" w:color="000000"/>
              <w:right w:val="single" w:sz="5" w:space="0" w:color="000000"/>
            </w:tcBorders>
          </w:tcPr>
          <w:p w14:paraId="4F9FDEA5" w14:textId="77777777" w:rsidR="00D71137" w:rsidRPr="00D71137" w:rsidRDefault="00D71137" w:rsidP="00D71137">
            <w:pPr>
              <w:jc w:val="center"/>
            </w:pPr>
            <w:r w:rsidRPr="00D71137">
              <w:t>£38,052</w:t>
            </w:r>
          </w:p>
        </w:tc>
        <w:tc>
          <w:tcPr>
            <w:tcW w:w="1849" w:type="dxa"/>
            <w:tcBorders>
              <w:top w:val="single" w:sz="5" w:space="0" w:color="000000"/>
              <w:left w:val="single" w:sz="5" w:space="0" w:color="000000"/>
              <w:bottom w:val="single" w:sz="5" w:space="0" w:color="000000"/>
              <w:right w:val="single" w:sz="5" w:space="0" w:color="000000"/>
            </w:tcBorders>
          </w:tcPr>
          <w:p w14:paraId="432D2D6B" w14:textId="77777777" w:rsidR="00D71137" w:rsidRPr="00D71137" w:rsidRDefault="00D71137" w:rsidP="00D71137">
            <w:pPr>
              <w:jc w:val="center"/>
            </w:pPr>
            <w:r w:rsidRPr="00D71137">
              <w:t>£35,307</w:t>
            </w:r>
          </w:p>
        </w:tc>
      </w:tr>
      <w:tr w:rsidR="00D71137" w:rsidRPr="00D71137" w14:paraId="0AB8534C"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68D552F2" w14:textId="77777777" w:rsidR="00D71137" w:rsidRPr="00D71137" w:rsidRDefault="00D71137" w:rsidP="00D71137">
            <w:pPr>
              <w:jc w:val="center"/>
            </w:pPr>
            <w:r w:rsidRPr="00D71137">
              <w:t>6(maximum)</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5ADBEB0C" w14:textId="77777777" w:rsidR="00D71137" w:rsidRPr="00D71137" w:rsidRDefault="00D71137" w:rsidP="00D71137">
            <w:pPr>
              <w:jc w:val="center"/>
            </w:pPr>
            <w:r w:rsidRPr="00D71137">
              <w:t>£42,624</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41D52318" w14:textId="77777777" w:rsidR="00D71137" w:rsidRPr="00D71137" w:rsidRDefault="00D71137" w:rsidP="00D71137">
            <w:pPr>
              <w:jc w:val="center"/>
            </w:pPr>
            <w:r w:rsidRPr="00D71137">
              <w:t>£41,136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28B0339A" w14:textId="77777777" w:rsidR="00D71137" w:rsidRPr="00D71137" w:rsidRDefault="00D71137" w:rsidP="00D71137">
            <w:pPr>
              <w:jc w:val="center"/>
            </w:pPr>
            <w:r w:rsidRPr="00D71137">
              <w:t>£38,174</w:t>
            </w:r>
          </w:p>
        </w:tc>
      </w:tr>
    </w:tbl>
    <w:p w14:paraId="7583C2B6" w14:textId="77777777" w:rsidR="00EC4142" w:rsidRPr="00EC4142" w:rsidRDefault="00EC4142" w:rsidP="00D71137">
      <w:pPr>
        <w:rPr>
          <w:b/>
          <w:sz w:val="6"/>
          <w:szCs w:val="6"/>
        </w:rPr>
      </w:pPr>
    </w:p>
    <w:p w14:paraId="70E4BE90" w14:textId="5AF7F520" w:rsidR="00D71137" w:rsidRPr="00D71137" w:rsidRDefault="00EC4142" w:rsidP="00D71137">
      <w:r w:rsidRPr="00D71137">
        <w:rPr>
          <w:b/>
        </w:rPr>
        <w:t>Upper Pay Range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D71137" w:rsidRPr="00D71137" w14:paraId="3BE266B9" w14:textId="77777777" w:rsidTr="00D53150">
        <w:trPr>
          <w:trHeight w:hRule="exact" w:val="638"/>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126F80E4" w14:textId="77777777" w:rsidR="00D71137" w:rsidRPr="00D71137" w:rsidRDefault="00D71137" w:rsidP="00D53150">
            <w:pPr>
              <w:spacing w:after="0" w:line="240" w:lineRule="auto"/>
              <w:jc w:val="center"/>
            </w:pPr>
          </w:p>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5AB077EE" w14:textId="77777777" w:rsidR="00D71137" w:rsidRPr="00D71137" w:rsidRDefault="00D71137" w:rsidP="00D53150">
            <w:pPr>
              <w:spacing w:after="0" w:line="240" w:lineRule="auto"/>
              <w:jc w:val="center"/>
            </w:pPr>
            <w:r w:rsidRPr="00D71137">
              <w:t>Inner London Area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3EF5BBC7" w14:textId="77777777" w:rsidR="00D71137" w:rsidRPr="00D71137" w:rsidRDefault="00D71137" w:rsidP="00D53150">
            <w:pPr>
              <w:spacing w:after="0" w:line="240" w:lineRule="auto"/>
              <w:jc w:val="center"/>
            </w:pPr>
            <w:r w:rsidRPr="00D71137">
              <w:t>Outer London</w:t>
            </w:r>
          </w:p>
          <w:p w14:paraId="7431A4B8" w14:textId="77777777" w:rsidR="00D71137" w:rsidRPr="00D71137" w:rsidRDefault="00D71137" w:rsidP="00D53150">
            <w:pPr>
              <w:spacing w:after="0" w:line="240" w:lineRule="auto"/>
              <w:jc w:val="center"/>
            </w:pPr>
            <w:r w:rsidRPr="00D71137">
              <w:t>Area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2F892879" w14:textId="77777777" w:rsidR="00D71137" w:rsidRPr="00D71137" w:rsidRDefault="00D71137" w:rsidP="00D53150">
            <w:pPr>
              <w:spacing w:after="0" w:line="240" w:lineRule="auto"/>
              <w:jc w:val="center"/>
            </w:pPr>
            <w:r w:rsidRPr="00D71137">
              <w:t>Fringe Area</w:t>
            </w:r>
          </w:p>
        </w:tc>
      </w:tr>
      <w:tr w:rsidR="00D71137" w:rsidRPr="00D71137" w14:paraId="3ACACB0E" w14:textId="77777777" w:rsidTr="006971D1">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778BACF5" w14:textId="77777777" w:rsidR="00D71137" w:rsidRPr="00D71137" w:rsidRDefault="00D71137" w:rsidP="00D71137">
            <w:pPr>
              <w:jc w:val="center"/>
            </w:pPr>
            <w:r w:rsidRPr="00D71137">
              <w:t>1(minimum)</w:t>
            </w:r>
          </w:p>
        </w:tc>
        <w:tc>
          <w:tcPr>
            <w:tcW w:w="1848" w:type="dxa"/>
            <w:tcBorders>
              <w:top w:val="single" w:sz="5" w:space="0" w:color="000000"/>
              <w:left w:val="single" w:sz="5" w:space="0" w:color="000000"/>
              <w:bottom w:val="single" w:sz="5" w:space="0" w:color="000000"/>
              <w:right w:val="single" w:sz="5" w:space="0" w:color="000000"/>
            </w:tcBorders>
          </w:tcPr>
          <w:p w14:paraId="44772678" w14:textId="77777777" w:rsidR="00D71137" w:rsidRPr="00D71137" w:rsidRDefault="00D71137" w:rsidP="00D71137">
            <w:pPr>
              <w:jc w:val="center"/>
            </w:pPr>
            <w:r w:rsidRPr="00D71137">
              <w:t>£46,971</w:t>
            </w:r>
          </w:p>
        </w:tc>
        <w:tc>
          <w:tcPr>
            <w:tcW w:w="1850" w:type="dxa"/>
            <w:tcBorders>
              <w:top w:val="single" w:sz="5" w:space="0" w:color="000000"/>
              <w:left w:val="single" w:sz="5" w:space="0" w:color="000000"/>
              <w:bottom w:val="single" w:sz="5" w:space="0" w:color="000000"/>
              <w:right w:val="single" w:sz="5" w:space="0" w:color="000000"/>
            </w:tcBorders>
          </w:tcPr>
          <w:p w14:paraId="2A0B9FFD" w14:textId="77777777" w:rsidR="00D71137" w:rsidRPr="00D71137" w:rsidRDefault="00D71137" w:rsidP="00D71137">
            <w:pPr>
              <w:jc w:val="center"/>
            </w:pPr>
            <w:r w:rsidRPr="00D71137">
              <w:t>£42,559</w:t>
            </w:r>
          </w:p>
        </w:tc>
        <w:tc>
          <w:tcPr>
            <w:tcW w:w="1849" w:type="dxa"/>
            <w:tcBorders>
              <w:top w:val="single" w:sz="5" w:space="0" w:color="000000"/>
              <w:left w:val="single" w:sz="5" w:space="0" w:color="000000"/>
              <w:bottom w:val="single" w:sz="5" w:space="0" w:color="000000"/>
              <w:right w:val="single" w:sz="5" w:space="0" w:color="000000"/>
            </w:tcBorders>
          </w:tcPr>
          <w:p w14:paraId="1B0570F3" w14:textId="77777777" w:rsidR="00D71137" w:rsidRPr="00D71137" w:rsidRDefault="00D71137" w:rsidP="00D71137">
            <w:pPr>
              <w:jc w:val="center"/>
            </w:pPr>
            <w:r w:rsidRPr="00D71137">
              <w:t>£39,864</w:t>
            </w:r>
          </w:p>
        </w:tc>
      </w:tr>
      <w:tr w:rsidR="00D71137" w:rsidRPr="00D71137" w14:paraId="6602C40C"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10DCBB72" w14:textId="77777777" w:rsidR="00D71137" w:rsidRPr="00D71137" w:rsidRDefault="00D71137" w:rsidP="00D71137">
            <w:pPr>
              <w:jc w:val="center"/>
            </w:pPr>
            <w:r w:rsidRPr="00D71137">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7F0FB257" w14:textId="77777777" w:rsidR="00D71137" w:rsidRPr="00D71137" w:rsidRDefault="00D71137" w:rsidP="00D71137">
            <w:pPr>
              <w:jc w:val="center"/>
            </w:pPr>
            <w:r w:rsidRPr="00D71137">
              <w:t>£49,279</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1839C113" w14:textId="77777777" w:rsidR="00D71137" w:rsidRPr="00D71137" w:rsidRDefault="00D71137" w:rsidP="00D71137">
            <w:pPr>
              <w:jc w:val="center"/>
            </w:pPr>
            <w:r w:rsidRPr="00D71137">
              <w:t>£44,133</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AB0A6FA" w14:textId="77777777" w:rsidR="00D71137" w:rsidRPr="00D71137" w:rsidRDefault="00D71137" w:rsidP="00D71137">
            <w:pPr>
              <w:jc w:val="center"/>
            </w:pPr>
            <w:r w:rsidRPr="00D71137">
              <w:t>£41,295</w:t>
            </w:r>
          </w:p>
        </w:tc>
      </w:tr>
      <w:tr w:rsidR="00D71137" w:rsidRPr="00D71137" w14:paraId="26C3EC63" w14:textId="77777777" w:rsidTr="006971D1">
        <w:trPr>
          <w:trHeight w:hRule="exact" w:val="374"/>
        </w:trPr>
        <w:tc>
          <w:tcPr>
            <w:tcW w:w="1627" w:type="dxa"/>
            <w:tcBorders>
              <w:top w:val="single" w:sz="5" w:space="0" w:color="000000"/>
              <w:left w:val="single" w:sz="5" w:space="0" w:color="000000"/>
              <w:bottom w:val="single" w:sz="5" w:space="0" w:color="000000"/>
              <w:right w:val="single" w:sz="5" w:space="0" w:color="000000"/>
            </w:tcBorders>
          </w:tcPr>
          <w:p w14:paraId="1327EAB0" w14:textId="77777777" w:rsidR="00D71137" w:rsidRPr="00D71137" w:rsidRDefault="00D71137" w:rsidP="00D71137">
            <w:pPr>
              <w:jc w:val="center"/>
            </w:pPr>
            <w:r w:rsidRPr="00D71137">
              <w:t>3(maximum)</w:t>
            </w:r>
          </w:p>
        </w:tc>
        <w:tc>
          <w:tcPr>
            <w:tcW w:w="1848" w:type="dxa"/>
            <w:tcBorders>
              <w:top w:val="single" w:sz="5" w:space="0" w:color="000000"/>
              <w:left w:val="single" w:sz="5" w:space="0" w:color="000000"/>
              <w:bottom w:val="single" w:sz="5" w:space="0" w:color="000000"/>
              <w:right w:val="single" w:sz="5" w:space="0" w:color="000000"/>
            </w:tcBorders>
          </w:tcPr>
          <w:p w14:paraId="7D630BBE" w14:textId="77777777" w:rsidR="00D71137" w:rsidRPr="00D71137" w:rsidRDefault="00D71137" w:rsidP="00D71137">
            <w:pPr>
              <w:jc w:val="center"/>
            </w:pPr>
            <w:r w:rsidRPr="00D71137">
              <w:t>£50,935</w:t>
            </w:r>
          </w:p>
        </w:tc>
        <w:tc>
          <w:tcPr>
            <w:tcW w:w="1850" w:type="dxa"/>
            <w:tcBorders>
              <w:top w:val="single" w:sz="5" w:space="0" w:color="000000"/>
              <w:left w:val="single" w:sz="5" w:space="0" w:color="000000"/>
              <w:bottom w:val="single" w:sz="5" w:space="0" w:color="000000"/>
              <w:right w:val="single" w:sz="5" w:space="0" w:color="000000"/>
            </w:tcBorders>
          </w:tcPr>
          <w:p w14:paraId="5BC685DC" w14:textId="77777777" w:rsidR="00D71137" w:rsidRPr="00D71137" w:rsidRDefault="00D71137" w:rsidP="00D71137">
            <w:pPr>
              <w:jc w:val="center"/>
            </w:pPr>
            <w:r w:rsidRPr="00D71137">
              <w:t>£45,766</w:t>
            </w:r>
          </w:p>
        </w:tc>
        <w:tc>
          <w:tcPr>
            <w:tcW w:w="1849" w:type="dxa"/>
            <w:tcBorders>
              <w:top w:val="single" w:sz="5" w:space="0" w:color="000000"/>
              <w:left w:val="single" w:sz="5" w:space="0" w:color="000000"/>
              <w:bottom w:val="single" w:sz="5" w:space="0" w:color="000000"/>
              <w:right w:val="single" w:sz="5" w:space="0" w:color="000000"/>
            </w:tcBorders>
          </w:tcPr>
          <w:p w14:paraId="6A0A4347" w14:textId="77777777" w:rsidR="00D71137" w:rsidRPr="00D71137" w:rsidRDefault="00D71137" w:rsidP="00D71137">
            <w:pPr>
              <w:jc w:val="center"/>
            </w:pPr>
            <w:r w:rsidRPr="00D71137">
              <w:t>£42,780</w:t>
            </w:r>
          </w:p>
        </w:tc>
      </w:tr>
    </w:tbl>
    <w:p w14:paraId="37930C2A" w14:textId="77777777" w:rsidR="00EC4142" w:rsidRPr="00EC4142" w:rsidRDefault="00EC4142" w:rsidP="00811368">
      <w:pPr>
        <w:rPr>
          <w:sz w:val="10"/>
          <w:szCs w:val="10"/>
        </w:rPr>
      </w:pPr>
    </w:p>
    <w:p w14:paraId="73138B4F" w14:textId="5AD1A425" w:rsidR="003A0567" w:rsidRDefault="00FD36AD" w:rsidP="00811368">
      <w:r>
        <w:t xml:space="preserve">The Governing Body undertakes that it will not restrict the pay range advertised for or starting salary and pay progression prospects available for classroom teacher posts, other than the minimum of the Main Pay Range and the maximum of the </w:t>
      </w:r>
      <w:r w:rsidR="003A0567">
        <w:t>Upper pay Range.</w:t>
      </w:r>
    </w:p>
    <w:p w14:paraId="12130FA0" w14:textId="6E647737" w:rsidR="005E0581" w:rsidRDefault="003A0567" w:rsidP="00811368">
      <w:r>
        <w:rPr>
          <w:color w:val="FF0000"/>
        </w:rPr>
        <w:t>Governing Bod</w:t>
      </w:r>
      <w:r w:rsidR="00405956">
        <w:rPr>
          <w:color w:val="FF0000"/>
        </w:rPr>
        <w:t>ies</w:t>
      </w:r>
      <w:r>
        <w:rPr>
          <w:color w:val="FF0000"/>
        </w:rPr>
        <w:t xml:space="preserve"> of one or two form entry schools only may wish to exchange the paragraph above for the following: </w:t>
      </w:r>
      <w:r w:rsidRPr="003A0567">
        <w:t xml:space="preserve">The </w:t>
      </w:r>
      <w:r>
        <w:t xml:space="preserve">Governing Body </w:t>
      </w:r>
      <w:r w:rsidR="005E0581">
        <w:t>has decided that</w:t>
      </w:r>
      <w:r w:rsidR="00405956">
        <w:t>,</w:t>
      </w:r>
      <w:r w:rsidR="00B6172A">
        <w:t xml:space="preserve"> </w:t>
      </w:r>
      <w:r w:rsidR="005E0581">
        <w:t xml:space="preserve">given the size of the school and the number of pupils on roll, teachers are unable to meet the criteria to progress to UPS 3.  Any teachers already paid on UPS 3 will be unaffected and the Headteacher/Executive Headteacher will ensure that they carry out responsibilities </w:t>
      </w:r>
      <w:r w:rsidR="00AA4C26">
        <w:t>to maintain</w:t>
      </w:r>
      <w:r w:rsidR="005E0581">
        <w:t xml:space="preserve"> their salary.  Posts will be advertised </w:t>
      </w:r>
      <w:r w:rsidR="00AA4C26">
        <w:t>clearly stating</w:t>
      </w:r>
      <w:r w:rsidR="005E0581">
        <w:t xml:space="preserve"> the salary range, reflecting this decision</w:t>
      </w:r>
      <w:r w:rsidR="00AA4C26">
        <w:t>. A</w:t>
      </w:r>
      <w:r w:rsidR="005E0581">
        <w:t xml:space="preserve">pplicants who </w:t>
      </w:r>
      <w:r w:rsidR="00AA4C26">
        <w:t>we</w:t>
      </w:r>
      <w:r w:rsidR="005E0581">
        <w:t xml:space="preserve">re paid at UPS3 in a previous role will be expected to accept the role </w:t>
      </w:r>
      <w:r w:rsidR="00AA4C26">
        <w:t>as advertise</w:t>
      </w:r>
      <w:r w:rsidR="00EC4142">
        <w:t>d</w:t>
      </w:r>
      <w:r w:rsidR="00AA4C26">
        <w:t xml:space="preserve"> </w:t>
      </w:r>
      <w:r w:rsidR="005E0581">
        <w:t>and be paid on the range for this school.</w:t>
      </w:r>
      <w:r w:rsidR="00AF09E4">
        <w:t xml:space="preserve"> This decision will be reviewed on an annual basis.</w:t>
      </w:r>
    </w:p>
    <w:p w14:paraId="09CC862E" w14:textId="77777777" w:rsidR="005E0581" w:rsidRDefault="005E0581" w:rsidP="00811368">
      <w:r>
        <w:t>The Governing Body will apply the principle of pay portability in making pay determinations for all new appointees as follows:</w:t>
      </w:r>
    </w:p>
    <w:p w14:paraId="27A5F575" w14:textId="77777777" w:rsidR="005E0581" w:rsidRDefault="005E0581" w:rsidP="00811368">
      <w:r>
        <w:t>When determining the starting pay for a classroom teacher taking up their first appointment as a qualified classroom teacher, the Governing Body will pay the teacher on the Main Pay Range and will allocate pay scale points, as a minimum, on the following basis:</w:t>
      </w:r>
    </w:p>
    <w:p w14:paraId="4F40AE58" w14:textId="6BDB4DBB" w:rsidR="005E0581" w:rsidRDefault="005725C5" w:rsidP="005E0581">
      <w:pPr>
        <w:pStyle w:val="ListParagraph"/>
        <w:numPr>
          <w:ilvl w:val="0"/>
          <w:numId w:val="2"/>
        </w:numPr>
      </w:pPr>
      <w:r>
        <w:t>o</w:t>
      </w:r>
      <w:r w:rsidR="005E0581">
        <w:t xml:space="preserve">ne point for each year of service as a qualified teacher in a maintained school, Academy, City Technology College or independent </w:t>
      </w:r>
      <w:proofErr w:type="gramStart"/>
      <w:r w:rsidR="005E0581">
        <w:t>school;</w:t>
      </w:r>
      <w:proofErr w:type="gramEnd"/>
    </w:p>
    <w:p w14:paraId="35E16A7F" w14:textId="6F11045B" w:rsidR="005E0581" w:rsidRDefault="005725C5" w:rsidP="005E0581">
      <w:pPr>
        <w:pStyle w:val="ListParagraph"/>
        <w:numPr>
          <w:ilvl w:val="0"/>
          <w:numId w:val="2"/>
        </w:numPr>
      </w:pPr>
      <w:r>
        <w:lastRenderedPageBreak/>
        <w:t xml:space="preserve">one point for each year of service as a qualified teacher in higher education or further education including sixth form colleges, or in countries outside England and Wales in a school in the maintained sector of the country </w:t>
      </w:r>
      <w:proofErr w:type="gramStart"/>
      <w:r>
        <w:t>concerned;</w:t>
      </w:r>
      <w:proofErr w:type="gramEnd"/>
    </w:p>
    <w:p w14:paraId="7AE0FEFB" w14:textId="13330247" w:rsidR="005725C5" w:rsidRDefault="005725C5" w:rsidP="005E0581">
      <w:pPr>
        <w:pStyle w:val="ListParagraph"/>
        <w:numPr>
          <w:ilvl w:val="0"/>
          <w:numId w:val="2"/>
        </w:numPr>
      </w:pPr>
      <w:r>
        <w:t xml:space="preserve">one point for each three years of non-teaching experience spent working in a relevant area, including industrial or commercial training, time spent working in an occupation relevant to the teacher’s work at the school, and experience with children/young </w:t>
      </w:r>
      <w:proofErr w:type="gramStart"/>
      <w:r>
        <w:t>people;</w:t>
      </w:r>
      <w:proofErr w:type="gramEnd"/>
    </w:p>
    <w:p w14:paraId="26EB1923" w14:textId="3F66E41D" w:rsidR="005725C5" w:rsidRDefault="005725C5" w:rsidP="005E0581">
      <w:pPr>
        <w:pStyle w:val="ListParagraph"/>
        <w:numPr>
          <w:ilvl w:val="0"/>
          <w:numId w:val="2"/>
        </w:numPr>
      </w:pPr>
      <w:r>
        <w:t>one point for each three years of other remunerated or unremunerated experience including caring for children during a career break.</w:t>
      </w:r>
    </w:p>
    <w:p w14:paraId="3A8415A6" w14:textId="452E3FAE" w:rsidR="005725C5" w:rsidRDefault="005725C5" w:rsidP="005725C5">
      <w:r>
        <w:t>The Governing Body will also consider the allocation of additional scale point</w:t>
      </w:r>
      <w:r w:rsidR="00D53150">
        <w:t>/s</w:t>
      </w:r>
      <w:r>
        <w:t xml:space="preserve"> on the above basis to other teachers to the Main or Upper Pay Ranges if necessary.</w:t>
      </w:r>
    </w:p>
    <w:p w14:paraId="1F8D3593" w14:textId="694A107D" w:rsidR="005725C5" w:rsidRDefault="005725C5" w:rsidP="005725C5">
      <w:r>
        <w:t>When determining the starting pay for a classroom teacher who has previously worked in an LA maintained school or academy in England and Wales, the Governing Body will normally pay the teacher on a salary point which at least maintains the teacher’s previous pay entitlement plus any pay progression which they would have received had they remained in their previous post.</w:t>
      </w:r>
    </w:p>
    <w:p w14:paraId="59677116" w14:textId="22658FF3" w:rsidR="005725C5" w:rsidRDefault="005725C5" w:rsidP="005725C5">
      <w:pPr>
        <w:rPr>
          <w:i/>
          <w:iCs/>
        </w:rPr>
      </w:pPr>
      <w:r>
        <w:rPr>
          <w:i/>
          <w:iCs/>
        </w:rPr>
        <w:t>Leading Practitioner Posts</w:t>
      </w:r>
    </w:p>
    <w:p w14:paraId="30384DD9" w14:textId="64C0EFBC" w:rsidR="00EB27D9" w:rsidRDefault="005725C5" w:rsidP="005725C5">
      <w:r>
        <w:t xml:space="preserve">The Governing Body has established the following pay scale(s) for Leading Practitioner teacher posts </w:t>
      </w:r>
      <w:r w:rsidR="00EB27D9">
        <w:t>paid to the Leading Practitioner Range: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D71137" w:rsidRPr="00D71137" w14:paraId="0300D8CB" w14:textId="77777777" w:rsidTr="00D53150">
        <w:trPr>
          <w:trHeight w:hRule="exact" w:val="632"/>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78CD5150" w14:textId="77777777" w:rsidR="00D71137" w:rsidRPr="00D71137" w:rsidRDefault="00D71137" w:rsidP="00D53150">
            <w:pPr>
              <w:spacing w:after="0" w:line="240" w:lineRule="auto"/>
              <w:jc w:val="center"/>
            </w:pPr>
          </w:p>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77B56444" w14:textId="77777777" w:rsidR="00D71137" w:rsidRPr="00D71137" w:rsidRDefault="00D71137" w:rsidP="00D53150">
            <w:pPr>
              <w:spacing w:after="0" w:line="240" w:lineRule="auto"/>
              <w:jc w:val="center"/>
            </w:pPr>
            <w:r w:rsidRPr="00D71137">
              <w:t>Inner London Area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04D48ECD" w14:textId="77777777" w:rsidR="00D71137" w:rsidRPr="00D71137" w:rsidRDefault="00D71137" w:rsidP="00D53150">
            <w:pPr>
              <w:spacing w:after="0" w:line="240" w:lineRule="auto"/>
              <w:jc w:val="center"/>
            </w:pPr>
            <w:r w:rsidRPr="00D71137">
              <w:t>Outer London</w:t>
            </w:r>
          </w:p>
          <w:p w14:paraId="6976F8F4" w14:textId="77777777" w:rsidR="00D71137" w:rsidRPr="00D71137" w:rsidRDefault="00D71137" w:rsidP="00D53150">
            <w:pPr>
              <w:spacing w:after="0" w:line="240" w:lineRule="auto"/>
              <w:jc w:val="center"/>
            </w:pPr>
            <w:r w:rsidRPr="00D71137">
              <w:t>Area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1439A879" w14:textId="77777777" w:rsidR="00D71137" w:rsidRPr="00D71137" w:rsidRDefault="00D71137" w:rsidP="00D53150">
            <w:pPr>
              <w:spacing w:after="0" w:line="240" w:lineRule="auto"/>
              <w:jc w:val="center"/>
            </w:pPr>
            <w:r w:rsidRPr="00D71137">
              <w:t>Fringe Area</w:t>
            </w:r>
          </w:p>
        </w:tc>
      </w:tr>
      <w:tr w:rsidR="00D71137" w:rsidRPr="00D71137" w14:paraId="2DE54C8A" w14:textId="77777777" w:rsidTr="006971D1">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52898503" w14:textId="77777777" w:rsidR="00D71137" w:rsidRPr="00D71137" w:rsidRDefault="00D71137" w:rsidP="00D71137">
            <w:pPr>
              <w:jc w:val="center"/>
            </w:pPr>
            <w:r w:rsidRPr="00D71137">
              <w:t>minimum</w:t>
            </w:r>
          </w:p>
        </w:tc>
        <w:tc>
          <w:tcPr>
            <w:tcW w:w="1848" w:type="dxa"/>
            <w:tcBorders>
              <w:top w:val="single" w:sz="5" w:space="0" w:color="000000"/>
              <w:left w:val="single" w:sz="5" w:space="0" w:color="000000"/>
              <w:bottom w:val="single" w:sz="5" w:space="0" w:color="000000"/>
              <w:right w:val="single" w:sz="5" w:space="0" w:color="000000"/>
            </w:tcBorders>
          </w:tcPr>
          <w:p w14:paraId="00C0B6D0" w14:textId="77777777" w:rsidR="00D71137" w:rsidRPr="00D71137" w:rsidRDefault="00D71137" w:rsidP="00D71137">
            <w:pPr>
              <w:jc w:val="center"/>
            </w:pPr>
            <w:r w:rsidRPr="00D71137">
              <w:t>£50,415</w:t>
            </w:r>
          </w:p>
        </w:tc>
        <w:tc>
          <w:tcPr>
            <w:tcW w:w="1850" w:type="dxa"/>
            <w:tcBorders>
              <w:top w:val="single" w:sz="5" w:space="0" w:color="000000"/>
              <w:left w:val="single" w:sz="5" w:space="0" w:color="000000"/>
              <w:bottom w:val="single" w:sz="5" w:space="0" w:color="000000"/>
              <w:right w:val="single" w:sz="5" w:space="0" w:color="000000"/>
            </w:tcBorders>
          </w:tcPr>
          <w:p w14:paraId="7C31F132" w14:textId="77777777" w:rsidR="00D71137" w:rsidRPr="00D71137" w:rsidRDefault="00D71137" w:rsidP="00D71137">
            <w:pPr>
              <w:jc w:val="center"/>
            </w:pPr>
            <w:r w:rsidRPr="00D71137">
              <w:t>£45,766</w:t>
            </w:r>
          </w:p>
        </w:tc>
        <w:tc>
          <w:tcPr>
            <w:tcW w:w="1849" w:type="dxa"/>
            <w:tcBorders>
              <w:top w:val="single" w:sz="5" w:space="0" w:color="000000"/>
              <w:left w:val="single" w:sz="5" w:space="0" w:color="000000"/>
              <w:bottom w:val="single" w:sz="5" w:space="0" w:color="000000"/>
              <w:right w:val="single" w:sz="5" w:space="0" w:color="000000"/>
            </w:tcBorders>
          </w:tcPr>
          <w:p w14:paraId="22FF0EBE" w14:textId="77777777" w:rsidR="00D71137" w:rsidRPr="00D71137" w:rsidRDefault="00D71137" w:rsidP="00D71137">
            <w:pPr>
              <w:jc w:val="center"/>
            </w:pPr>
            <w:r w:rsidRPr="00D71137">
              <w:t>£43,570</w:t>
            </w:r>
          </w:p>
        </w:tc>
      </w:tr>
      <w:tr w:rsidR="00D71137" w:rsidRPr="00D71137" w14:paraId="4FFD4AB5"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50B628D7" w14:textId="77777777" w:rsidR="00D71137" w:rsidRPr="00D71137" w:rsidRDefault="00D71137" w:rsidP="00D71137">
            <w:pPr>
              <w:jc w:val="center"/>
            </w:pPr>
            <w:r w:rsidRPr="00D71137">
              <w:t>maximum</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7749B0B8" w14:textId="77777777" w:rsidR="00D71137" w:rsidRPr="00D71137" w:rsidRDefault="00D71137" w:rsidP="00D71137">
            <w:pPr>
              <w:jc w:val="center"/>
            </w:pPr>
            <w:r w:rsidRPr="00D71137">
              <w:t>£72,480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610D8345" w14:textId="77777777" w:rsidR="00D71137" w:rsidRPr="00D71137" w:rsidRDefault="00D71137" w:rsidP="00D71137">
            <w:pPr>
              <w:jc w:val="center"/>
            </w:pPr>
            <w:r w:rsidRPr="00D71137">
              <w:t>£67,828</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5E71D4CB" w14:textId="77777777" w:rsidR="00D71137" w:rsidRPr="00D71137" w:rsidRDefault="00D71137" w:rsidP="00D71137">
            <w:pPr>
              <w:jc w:val="center"/>
            </w:pPr>
            <w:r w:rsidRPr="00D71137">
              <w:t>£65,631</w:t>
            </w:r>
          </w:p>
        </w:tc>
      </w:tr>
    </w:tbl>
    <w:p w14:paraId="166F757D" w14:textId="77777777" w:rsidR="00EB27D9" w:rsidRPr="00D53150" w:rsidRDefault="00EB27D9" w:rsidP="005725C5">
      <w:pPr>
        <w:rPr>
          <w:sz w:val="4"/>
          <w:szCs w:val="4"/>
        </w:rPr>
      </w:pPr>
    </w:p>
    <w:p w14:paraId="0EF95F14" w14:textId="77777777" w:rsidR="00EB27D9" w:rsidRDefault="00EB27D9" w:rsidP="005725C5">
      <w:r>
        <w:t>Such posts may be established for teachers whose primary purpose is the modelling and leading improvement of teaching skills, where those duties fall outside the criteria for TLR payment structure.</w:t>
      </w:r>
    </w:p>
    <w:p w14:paraId="2D501F24" w14:textId="472C13F5" w:rsidR="005725C5" w:rsidRDefault="00EB27D9" w:rsidP="005725C5">
      <w:r>
        <w:t xml:space="preserve">When determining the pay scales for such posts, the Governing Body will do this </w:t>
      </w:r>
      <w:r w:rsidR="005D0F73">
        <w:t xml:space="preserve">with reference </w:t>
      </w:r>
      <w:r>
        <w:t>to the weight of the responsibilities of the post</w:t>
      </w:r>
      <w:r w:rsidR="005D0F73">
        <w:t>,</w:t>
      </w:r>
      <w:r>
        <w:t xml:space="preserve"> </w:t>
      </w:r>
      <w:r w:rsidR="00405956">
        <w:t xml:space="preserve">and </w:t>
      </w:r>
      <w:r>
        <w:t>bearing in mind the need to ensure pay equality</w:t>
      </w:r>
      <w:r w:rsidR="00405956">
        <w:t>,</w:t>
      </w:r>
      <w:r>
        <w:t xml:space="preserve"> where posts are equally onerous</w:t>
      </w:r>
      <w:r w:rsidR="00405956">
        <w:t>,</w:t>
      </w:r>
      <w:r>
        <w:t xml:space="preserve"> and fair pay relativities between posts of </w:t>
      </w:r>
      <w:proofErr w:type="gramStart"/>
      <w:r>
        <w:t>differing  levels</w:t>
      </w:r>
      <w:proofErr w:type="gramEnd"/>
      <w:r>
        <w:t xml:space="preserve"> of responsibility.</w:t>
      </w:r>
    </w:p>
    <w:p w14:paraId="65EFE351" w14:textId="4AE6CE02" w:rsidR="00EB27D9" w:rsidRDefault="00EB27D9" w:rsidP="005725C5">
      <w:r>
        <w:t>The policy of the Governing Body is to appoint any new Leading Practitioner teacher at the bottom of the pay range.</w:t>
      </w:r>
    </w:p>
    <w:p w14:paraId="1A9BF802" w14:textId="768DDF30" w:rsidR="00EB27D9" w:rsidRDefault="00EB27D9" w:rsidP="005725C5">
      <w:pPr>
        <w:rPr>
          <w:i/>
          <w:iCs/>
        </w:rPr>
      </w:pPr>
      <w:r>
        <w:rPr>
          <w:i/>
          <w:iCs/>
        </w:rPr>
        <w:t>Unqualified Teachers</w:t>
      </w:r>
    </w:p>
    <w:p w14:paraId="3BB83790" w14:textId="5C1D4831" w:rsidR="00EB27D9" w:rsidRDefault="00EB27D9" w:rsidP="005725C5">
      <w:r>
        <w:t>The Governing Body has established the following pay scale for unqualified teachers employed in classroom teacher posts:</w:t>
      </w:r>
    </w:p>
    <w:p w14:paraId="6A6771B1" w14:textId="1D8170BD" w:rsidR="00D53150" w:rsidRDefault="00D53150" w:rsidP="005725C5"/>
    <w:p w14:paraId="09CEC98C" w14:textId="5D16ACE4" w:rsidR="00D53150" w:rsidRDefault="00D53150" w:rsidP="005725C5"/>
    <w:p w14:paraId="49F38709" w14:textId="1E9046CD" w:rsidR="00D53150" w:rsidRDefault="00D53150" w:rsidP="005725C5"/>
    <w:p w14:paraId="1FF8FAD8" w14:textId="2DBBF82D" w:rsidR="00D53150" w:rsidRDefault="00D53150" w:rsidP="005725C5"/>
    <w:p w14:paraId="1F2CA9AC" w14:textId="77777777" w:rsidR="00D53150" w:rsidRDefault="00D53150" w:rsidP="005725C5"/>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D71137" w:rsidRPr="00D71137" w14:paraId="45B09B13" w14:textId="77777777" w:rsidTr="00D53150">
        <w:trPr>
          <w:trHeight w:hRule="exact" w:val="599"/>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2561AFB3" w14:textId="77777777" w:rsidR="00D71137" w:rsidRPr="00D71137" w:rsidRDefault="00D71137" w:rsidP="00D53150">
            <w:pPr>
              <w:spacing w:after="0" w:line="240" w:lineRule="auto"/>
              <w:jc w:val="center"/>
            </w:pPr>
          </w:p>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2F9E2857" w14:textId="77777777" w:rsidR="00D71137" w:rsidRPr="00D71137" w:rsidRDefault="00D71137" w:rsidP="00D53150">
            <w:pPr>
              <w:spacing w:after="0" w:line="240" w:lineRule="auto"/>
              <w:jc w:val="center"/>
            </w:pPr>
            <w:r w:rsidRPr="00D71137">
              <w:t>Inner London Area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617E61ED" w14:textId="77777777" w:rsidR="00D71137" w:rsidRPr="00D71137" w:rsidRDefault="00D71137" w:rsidP="00D53150">
            <w:pPr>
              <w:spacing w:after="0" w:line="240" w:lineRule="auto"/>
              <w:jc w:val="center"/>
            </w:pPr>
            <w:r w:rsidRPr="00D71137">
              <w:t>Outer London</w:t>
            </w:r>
          </w:p>
          <w:p w14:paraId="487FB683" w14:textId="77777777" w:rsidR="00D71137" w:rsidRPr="00D71137" w:rsidRDefault="00D71137" w:rsidP="00D53150">
            <w:pPr>
              <w:spacing w:after="0" w:line="240" w:lineRule="auto"/>
              <w:jc w:val="center"/>
            </w:pPr>
            <w:r w:rsidRPr="00D71137">
              <w:t>Area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66898B44" w14:textId="77777777" w:rsidR="00D71137" w:rsidRPr="00D71137" w:rsidRDefault="00D71137" w:rsidP="00D53150">
            <w:pPr>
              <w:spacing w:after="0" w:line="240" w:lineRule="auto"/>
              <w:jc w:val="center"/>
            </w:pPr>
            <w:r w:rsidRPr="00D71137">
              <w:t>Fringe Area</w:t>
            </w:r>
          </w:p>
        </w:tc>
      </w:tr>
      <w:tr w:rsidR="00D71137" w:rsidRPr="00D71137" w14:paraId="7BC086CB" w14:textId="77777777" w:rsidTr="006971D1">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233A0CE8" w14:textId="77777777" w:rsidR="00D71137" w:rsidRPr="00D71137" w:rsidRDefault="00D71137" w:rsidP="00D71137">
            <w:pPr>
              <w:jc w:val="center"/>
            </w:pPr>
            <w:r w:rsidRPr="00D71137">
              <w:t>1</w:t>
            </w:r>
          </w:p>
        </w:tc>
        <w:tc>
          <w:tcPr>
            <w:tcW w:w="1848" w:type="dxa"/>
            <w:tcBorders>
              <w:top w:val="single" w:sz="5" w:space="0" w:color="000000"/>
              <w:left w:val="single" w:sz="5" w:space="0" w:color="000000"/>
              <w:bottom w:val="single" w:sz="5" w:space="0" w:color="000000"/>
              <w:right w:val="single" w:sz="5" w:space="0" w:color="000000"/>
            </w:tcBorders>
          </w:tcPr>
          <w:p w14:paraId="050DF46E" w14:textId="4417EF12" w:rsidR="00D71137" w:rsidRPr="00D71137" w:rsidRDefault="00D71137" w:rsidP="00D71137">
            <w:pPr>
              <w:jc w:val="center"/>
            </w:pPr>
            <w:r w:rsidRPr="00D71137">
              <w:t>£</w:t>
            </w:r>
            <w:r w:rsidR="00103326">
              <w:t>23,09</w:t>
            </w:r>
            <w:r w:rsidRPr="00D71137">
              <w:t>9</w:t>
            </w:r>
          </w:p>
        </w:tc>
        <w:tc>
          <w:tcPr>
            <w:tcW w:w="1850" w:type="dxa"/>
            <w:tcBorders>
              <w:top w:val="single" w:sz="5" w:space="0" w:color="000000"/>
              <w:left w:val="single" w:sz="5" w:space="0" w:color="000000"/>
              <w:bottom w:val="single" w:sz="5" w:space="0" w:color="000000"/>
              <w:right w:val="single" w:sz="5" w:space="0" w:color="000000"/>
            </w:tcBorders>
          </w:tcPr>
          <w:p w14:paraId="0366D2C4" w14:textId="016ADDDA" w:rsidR="00D71137" w:rsidRPr="00D71137" w:rsidRDefault="00D71137" w:rsidP="00D71137">
            <w:pPr>
              <w:jc w:val="center"/>
            </w:pPr>
            <w:r w:rsidRPr="00D71137">
              <w:t>£21,</w:t>
            </w:r>
            <w:r w:rsidR="00103326">
              <w:t>83</w:t>
            </w:r>
            <w:r w:rsidRPr="00D71137">
              <w:t>2</w:t>
            </w:r>
          </w:p>
        </w:tc>
        <w:tc>
          <w:tcPr>
            <w:tcW w:w="1849" w:type="dxa"/>
            <w:tcBorders>
              <w:top w:val="single" w:sz="5" w:space="0" w:color="000000"/>
              <w:left w:val="single" w:sz="5" w:space="0" w:color="000000"/>
              <w:bottom w:val="single" w:sz="5" w:space="0" w:color="000000"/>
              <w:right w:val="single" w:sz="5" w:space="0" w:color="000000"/>
            </w:tcBorders>
          </w:tcPr>
          <w:p w14:paraId="1AB06287" w14:textId="2F7D4DB6" w:rsidR="00D71137" w:rsidRPr="00D71137" w:rsidRDefault="00D71137" w:rsidP="00D71137">
            <w:pPr>
              <w:jc w:val="center"/>
            </w:pPr>
            <w:r w:rsidRPr="00D71137">
              <w:t>£19,</w:t>
            </w:r>
            <w:r w:rsidR="00103326">
              <w:t>613</w:t>
            </w:r>
          </w:p>
        </w:tc>
      </w:tr>
      <w:tr w:rsidR="00D71137" w:rsidRPr="00D71137" w14:paraId="645E517C"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4000AF7" w14:textId="77777777" w:rsidR="00D71137" w:rsidRPr="00D71137" w:rsidRDefault="00D71137" w:rsidP="00D71137">
            <w:pPr>
              <w:jc w:val="center"/>
            </w:pPr>
            <w:r w:rsidRPr="00D71137">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30B16AE4" w14:textId="5155CDBE" w:rsidR="00D71137" w:rsidRPr="00D71137" w:rsidRDefault="00D71137" w:rsidP="00D71137">
            <w:pPr>
              <w:jc w:val="center"/>
            </w:pPr>
            <w:r w:rsidRPr="00D71137">
              <w:t>£2</w:t>
            </w:r>
            <w:r w:rsidR="00103326">
              <w:t>5,212</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215E7968" w14:textId="51F216DA" w:rsidR="00D71137" w:rsidRPr="00D71137" w:rsidRDefault="00D71137" w:rsidP="00D71137">
            <w:pPr>
              <w:jc w:val="center"/>
            </w:pPr>
            <w:r w:rsidRPr="00D71137">
              <w:t>£23,</w:t>
            </w:r>
            <w:r w:rsidR="00103326">
              <w:t>946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06456AF" w14:textId="32370238" w:rsidR="00D71137" w:rsidRPr="00D71137" w:rsidRDefault="00D71137" w:rsidP="00D71137">
            <w:pPr>
              <w:jc w:val="center"/>
            </w:pPr>
            <w:r w:rsidRPr="00D71137">
              <w:t>£21,</w:t>
            </w:r>
            <w:r w:rsidR="00103326">
              <w:t>723</w:t>
            </w:r>
          </w:p>
        </w:tc>
      </w:tr>
      <w:tr w:rsidR="00D71137" w:rsidRPr="00D71137" w14:paraId="14E96F0C" w14:textId="77777777" w:rsidTr="006971D1">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1169010E" w14:textId="77777777" w:rsidR="00D71137" w:rsidRPr="00D71137" w:rsidRDefault="00D71137" w:rsidP="00D71137">
            <w:pPr>
              <w:jc w:val="center"/>
            </w:pPr>
            <w:r w:rsidRPr="00D71137">
              <w:t>3</w:t>
            </w:r>
          </w:p>
        </w:tc>
        <w:tc>
          <w:tcPr>
            <w:tcW w:w="1848" w:type="dxa"/>
            <w:tcBorders>
              <w:top w:val="single" w:sz="5" w:space="0" w:color="000000"/>
              <w:left w:val="single" w:sz="5" w:space="0" w:color="000000"/>
              <w:bottom w:val="single" w:sz="5" w:space="0" w:color="000000"/>
              <w:right w:val="single" w:sz="5" w:space="0" w:color="000000"/>
            </w:tcBorders>
          </w:tcPr>
          <w:p w14:paraId="045A24FF" w14:textId="2CB07F05" w:rsidR="00D71137" w:rsidRPr="00D71137" w:rsidRDefault="00D71137" w:rsidP="00D71137">
            <w:pPr>
              <w:jc w:val="center"/>
            </w:pPr>
            <w:r w:rsidRPr="00D71137">
              <w:t>£27,</w:t>
            </w:r>
            <w:r w:rsidR="00103326">
              <w:t>325</w:t>
            </w:r>
          </w:p>
        </w:tc>
        <w:tc>
          <w:tcPr>
            <w:tcW w:w="1850" w:type="dxa"/>
            <w:tcBorders>
              <w:top w:val="single" w:sz="5" w:space="0" w:color="000000"/>
              <w:left w:val="single" w:sz="5" w:space="0" w:color="000000"/>
              <w:bottom w:val="single" w:sz="5" w:space="0" w:color="000000"/>
              <w:right w:val="single" w:sz="5" w:space="0" w:color="000000"/>
            </w:tcBorders>
          </w:tcPr>
          <w:p w14:paraId="1149F2E0" w14:textId="76D75061" w:rsidR="00D71137" w:rsidRPr="00D71137" w:rsidRDefault="00D71137" w:rsidP="00D71137">
            <w:pPr>
              <w:jc w:val="center"/>
            </w:pPr>
            <w:r w:rsidRPr="00D71137">
              <w:t>£2</w:t>
            </w:r>
            <w:r w:rsidR="00103326">
              <w:t>6,059</w:t>
            </w:r>
          </w:p>
        </w:tc>
        <w:tc>
          <w:tcPr>
            <w:tcW w:w="1849" w:type="dxa"/>
            <w:tcBorders>
              <w:top w:val="single" w:sz="5" w:space="0" w:color="000000"/>
              <w:left w:val="single" w:sz="5" w:space="0" w:color="000000"/>
              <w:bottom w:val="single" w:sz="5" w:space="0" w:color="000000"/>
              <w:right w:val="single" w:sz="5" w:space="0" w:color="000000"/>
            </w:tcBorders>
          </w:tcPr>
          <w:p w14:paraId="5CF7439B" w14:textId="215C8E99" w:rsidR="00D71137" w:rsidRPr="00D71137" w:rsidRDefault="00D71137" w:rsidP="00D71137">
            <w:pPr>
              <w:jc w:val="center"/>
            </w:pPr>
            <w:r w:rsidRPr="00D71137">
              <w:t>£23,</w:t>
            </w:r>
            <w:r w:rsidR="00103326">
              <w:t>837</w:t>
            </w:r>
          </w:p>
        </w:tc>
      </w:tr>
      <w:tr w:rsidR="00D71137" w:rsidRPr="00D71137" w14:paraId="52BDA652"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5A55DBC0" w14:textId="77777777" w:rsidR="00D71137" w:rsidRPr="00D71137" w:rsidRDefault="00D71137" w:rsidP="00D71137">
            <w:pPr>
              <w:jc w:val="center"/>
            </w:pPr>
            <w:r w:rsidRPr="00D71137">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2ADC3E07" w14:textId="77777777" w:rsidR="00D71137" w:rsidRPr="00D71137" w:rsidRDefault="00D71137" w:rsidP="00D71137">
            <w:pPr>
              <w:jc w:val="center"/>
            </w:pPr>
            <w:r w:rsidRPr="00D71137">
              <w:t>£29,187</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5E444DE2" w14:textId="77777777" w:rsidR="00D71137" w:rsidRPr="00D71137" w:rsidRDefault="00D71137" w:rsidP="00D71137">
            <w:pPr>
              <w:jc w:val="center"/>
            </w:pPr>
            <w:r w:rsidRPr="00D71137">
              <w:t>£27,926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D6CD1E8" w14:textId="77777777" w:rsidR="00D71137" w:rsidRPr="00D71137" w:rsidRDefault="00D71137" w:rsidP="00D71137">
            <w:pPr>
              <w:jc w:val="center"/>
            </w:pPr>
            <w:r w:rsidRPr="00D71137">
              <w:t>£25,699</w:t>
            </w:r>
          </w:p>
        </w:tc>
      </w:tr>
      <w:tr w:rsidR="00D71137" w:rsidRPr="00D71137" w14:paraId="4D551DFB" w14:textId="77777777" w:rsidTr="006971D1">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50A26723" w14:textId="77777777" w:rsidR="00D71137" w:rsidRPr="00D71137" w:rsidRDefault="00D71137" w:rsidP="00D71137">
            <w:pPr>
              <w:jc w:val="center"/>
            </w:pPr>
            <w:r w:rsidRPr="00D71137">
              <w:t>5</w:t>
            </w:r>
          </w:p>
        </w:tc>
        <w:tc>
          <w:tcPr>
            <w:tcW w:w="1848" w:type="dxa"/>
            <w:tcBorders>
              <w:top w:val="single" w:sz="5" w:space="0" w:color="000000"/>
              <w:left w:val="single" w:sz="5" w:space="0" w:color="000000"/>
              <w:bottom w:val="single" w:sz="5" w:space="0" w:color="000000"/>
              <w:right w:val="single" w:sz="5" w:space="0" w:color="000000"/>
            </w:tcBorders>
          </w:tcPr>
          <w:p w14:paraId="015B9145" w14:textId="77777777" w:rsidR="00D71137" w:rsidRPr="00D71137" w:rsidRDefault="00D71137" w:rsidP="00D71137">
            <w:pPr>
              <w:jc w:val="center"/>
            </w:pPr>
            <w:r w:rsidRPr="00D71137">
              <w:t>£31,298</w:t>
            </w:r>
          </w:p>
        </w:tc>
        <w:tc>
          <w:tcPr>
            <w:tcW w:w="1850" w:type="dxa"/>
            <w:tcBorders>
              <w:top w:val="single" w:sz="5" w:space="0" w:color="000000"/>
              <w:left w:val="single" w:sz="5" w:space="0" w:color="000000"/>
              <w:bottom w:val="single" w:sz="5" w:space="0" w:color="000000"/>
              <w:right w:val="single" w:sz="5" w:space="0" w:color="000000"/>
            </w:tcBorders>
          </w:tcPr>
          <w:p w14:paraId="30E0B898" w14:textId="77777777" w:rsidR="00D71137" w:rsidRPr="00D71137" w:rsidRDefault="00D71137" w:rsidP="00D71137">
            <w:pPr>
              <w:jc w:val="center"/>
            </w:pPr>
            <w:r w:rsidRPr="00D71137">
              <w:t>£30,037</w:t>
            </w:r>
          </w:p>
        </w:tc>
        <w:tc>
          <w:tcPr>
            <w:tcW w:w="1849" w:type="dxa"/>
            <w:tcBorders>
              <w:top w:val="single" w:sz="5" w:space="0" w:color="000000"/>
              <w:left w:val="single" w:sz="5" w:space="0" w:color="000000"/>
              <w:bottom w:val="single" w:sz="5" w:space="0" w:color="000000"/>
              <w:right w:val="single" w:sz="5" w:space="0" w:color="000000"/>
            </w:tcBorders>
          </w:tcPr>
          <w:p w14:paraId="38165F5C" w14:textId="77777777" w:rsidR="00D71137" w:rsidRPr="00D71137" w:rsidRDefault="00D71137" w:rsidP="00D71137">
            <w:pPr>
              <w:jc w:val="center"/>
            </w:pPr>
            <w:r w:rsidRPr="00D71137">
              <w:t>£27,812</w:t>
            </w:r>
          </w:p>
        </w:tc>
      </w:tr>
      <w:tr w:rsidR="00D71137" w:rsidRPr="00D71137" w14:paraId="45001F8E" w14:textId="77777777" w:rsidTr="006971D1">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556C0857" w14:textId="77777777" w:rsidR="00D71137" w:rsidRPr="00D71137" w:rsidRDefault="00D71137" w:rsidP="00D71137">
            <w:pPr>
              <w:jc w:val="center"/>
            </w:pPr>
            <w:r w:rsidRPr="00D71137">
              <w:t>6</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2C88C97F" w14:textId="77777777" w:rsidR="00D71137" w:rsidRPr="00D71137" w:rsidRDefault="00D71137" w:rsidP="00D71137">
            <w:pPr>
              <w:jc w:val="center"/>
            </w:pPr>
            <w:r w:rsidRPr="00D71137">
              <w:t>£33,410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16A6E974" w14:textId="77777777" w:rsidR="00D71137" w:rsidRPr="00D71137" w:rsidRDefault="00D71137" w:rsidP="00D71137">
            <w:pPr>
              <w:jc w:val="center"/>
            </w:pPr>
            <w:r w:rsidRPr="00D71137">
              <w:t>£32,151</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1C56B23A" w14:textId="77777777" w:rsidR="00D71137" w:rsidRPr="00D71137" w:rsidRDefault="00D71137" w:rsidP="00D71137">
            <w:pPr>
              <w:jc w:val="center"/>
            </w:pPr>
            <w:r w:rsidRPr="00D71137">
              <w:t>£29,924</w:t>
            </w:r>
          </w:p>
        </w:tc>
      </w:tr>
    </w:tbl>
    <w:p w14:paraId="2A4EE6A9" w14:textId="2FF3988B" w:rsidR="00EB27D9" w:rsidRPr="00D53150" w:rsidRDefault="00EB27D9" w:rsidP="00D71137">
      <w:pPr>
        <w:jc w:val="center"/>
        <w:rPr>
          <w:sz w:val="18"/>
          <w:szCs w:val="18"/>
        </w:rPr>
      </w:pPr>
    </w:p>
    <w:p w14:paraId="0D91E18E" w14:textId="43456B6B" w:rsidR="00BA4900" w:rsidRDefault="00EB27D9" w:rsidP="005725C5">
      <w:pPr>
        <w:rPr>
          <w:i/>
          <w:iCs/>
        </w:rPr>
      </w:pPr>
      <w:r>
        <w:rPr>
          <w:i/>
          <w:iCs/>
        </w:rPr>
        <w:t>Leadership Teacher Posts (Headteacher</w:t>
      </w:r>
      <w:r w:rsidR="00E7575D">
        <w:rPr>
          <w:i/>
          <w:iCs/>
        </w:rPr>
        <w:t>/Executive Headteacher</w:t>
      </w:r>
      <w:r>
        <w:rPr>
          <w:i/>
          <w:iCs/>
        </w:rPr>
        <w:t>, Deputy and Assistant Headteacher)</w:t>
      </w:r>
    </w:p>
    <w:p w14:paraId="4C55FEF2" w14:textId="74690940" w:rsidR="00AA4C26" w:rsidRDefault="00AA4C26" w:rsidP="005725C5">
      <w:r>
        <w:t xml:space="preserve">The pay ranges for </w:t>
      </w:r>
      <w:r w:rsidR="005D0F73">
        <w:t>L</w:t>
      </w:r>
      <w:r>
        <w:t xml:space="preserve">eadership </w:t>
      </w:r>
      <w:r w:rsidR="005D0F73">
        <w:t>T</w:t>
      </w:r>
      <w:r>
        <w:t>eachers will be determined in accordance with the criteria specified in the STPCD and ensuring fair pay relativities.</w:t>
      </w:r>
    </w:p>
    <w:p w14:paraId="2CB72E12" w14:textId="77777777" w:rsidR="00AA4C26" w:rsidRDefault="00AA4C26" w:rsidP="005725C5">
      <w:r>
        <w:t>The Governing Body has established the following pay ranges for Leadership Teachers (appendix 2)</w:t>
      </w:r>
    </w:p>
    <w:p w14:paraId="41F979A5" w14:textId="7B39EF91" w:rsidR="00AA4C26" w:rsidRDefault="00D53150" w:rsidP="005725C5">
      <w:pPr>
        <w:rPr>
          <w:i/>
          <w:iCs/>
        </w:rPr>
      </w:pPr>
      <w:r>
        <w:rPr>
          <w:i/>
          <w:iCs/>
        </w:rPr>
        <w:t>[</w:t>
      </w:r>
      <w:r w:rsidR="00AA4C26">
        <w:rPr>
          <w:i/>
          <w:iCs/>
        </w:rPr>
        <w:t xml:space="preserve">Insert </w:t>
      </w:r>
      <w:proofErr w:type="gramStart"/>
      <w:r w:rsidR="00AA4C26">
        <w:rPr>
          <w:i/>
          <w:iCs/>
        </w:rPr>
        <w:t>7 point</w:t>
      </w:r>
      <w:proofErr w:type="gramEnd"/>
      <w:r w:rsidR="00AA4C26">
        <w:rPr>
          <w:i/>
          <w:iCs/>
        </w:rPr>
        <w:t xml:space="preserve"> range for Headteacher</w:t>
      </w:r>
      <w:r>
        <w:rPr>
          <w:i/>
          <w:iCs/>
        </w:rPr>
        <w:t>]</w:t>
      </w:r>
    </w:p>
    <w:p w14:paraId="7237A637" w14:textId="293C6EC6" w:rsidR="00AA4C26" w:rsidRDefault="00D53150" w:rsidP="005725C5">
      <w:pPr>
        <w:rPr>
          <w:i/>
          <w:iCs/>
        </w:rPr>
      </w:pPr>
      <w:r>
        <w:rPr>
          <w:i/>
          <w:iCs/>
        </w:rPr>
        <w:t>[</w:t>
      </w:r>
      <w:r w:rsidR="00AA4C26">
        <w:rPr>
          <w:i/>
          <w:iCs/>
        </w:rPr>
        <w:t xml:space="preserve">Insert </w:t>
      </w:r>
      <w:proofErr w:type="gramStart"/>
      <w:r w:rsidR="00AA4C26">
        <w:rPr>
          <w:i/>
          <w:iCs/>
        </w:rPr>
        <w:t>5 point</w:t>
      </w:r>
      <w:proofErr w:type="gramEnd"/>
      <w:r w:rsidR="00AA4C26">
        <w:rPr>
          <w:i/>
          <w:iCs/>
        </w:rPr>
        <w:t xml:space="preserve"> range for deputy headteacher</w:t>
      </w:r>
      <w:r>
        <w:rPr>
          <w:i/>
          <w:iCs/>
        </w:rPr>
        <w:t>]</w:t>
      </w:r>
    </w:p>
    <w:p w14:paraId="5B6E2506" w14:textId="0E726A17" w:rsidR="00AA4C26" w:rsidRDefault="00D53150" w:rsidP="005725C5">
      <w:pPr>
        <w:rPr>
          <w:i/>
          <w:iCs/>
        </w:rPr>
      </w:pPr>
      <w:r>
        <w:rPr>
          <w:i/>
          <w:iCs/>
        </w:rPr>
        <w:t>[</w:t>
      </w:r>
      <w:r w:rsidR="00AA4C26">
        <w:rPr>
          <w:i/>
          <w:iCs/>
        </w:rPr>
        <w:t xml:space="preserve">Insert </w:t>
      </w:r>
      <w:proofErr w:type="gramStart"/>
      <w:r w:rsidR="00AA4C26">
        <w:rPr>
          <w:i/>
          <w:iCs/>
        </w:rPr>
        <w:t>5 point</w:t>
      </w:r>
      <w:proofErr w:type="gramEnd"/>
      <w:r w:rsidR="00AA4C26">
        <w:rPr>
          <w:i/>
          <w:iCs/>
        </w:rPr>
        <w:t xml:space="preserve"> range for Assistant Headteacher</w:t>
      </w:r>
      <w:r>
        <w:rPr>
          <w:i/>
          <w:iCs/>
        </w:rPr>
        <w:t>]</w:t>
      </w:r>
    </w:p>
    <w:p w14:paraId="4C5C9638" w14:textId="05193EE3" w:rsidR="00AA4C26" w:rsidRDefault="00AA4C26" w:rsidP="005725C5">
      <w:proofErr w:type="gramStart"/>
      <w:r>
        <w:t>Discretionar</w:t>
      </w:r>
      <w:r w:rsidR="00A322B6">
        <w:t xml:space="preserve">y </w:t>
      </w:r>
      <w:r>
        <w:t xml:space="preserve"> paym</w:t>
      </w:r>
      <w:r w:rsidR="00A322B6">
        <w:t>ents</w:t>
      </w:r>
      <w:proofErr w:type="gramEnd"/>
      <w:r w:rsidR="00A322B6">
        <w:t xml:space="preserve"> to the headteacher</w:t>
      </w:r>
      <w:r w:rsidR="00E7575D">
        <w:t>/executive headteacher</w:t>
      </w:r>
      <w:r w:rsidR="00A322B6">
        <w:t xml:space="preserve"> will be determined in accordance with the provisions of the current STPCD and will be reviewed annually.</w:t>
      </w:r>
    </w:p>
    <w:p w14:paraId="348E418A" w14:textId="2995A9DE" w:rsidR="00AE7592" w:rsidRDefault="00AE7592" w:rsidP="005725C5">
      <w:r>
        <w:t>Once the headteacher has reached the maximum point on their salary range, Governors may decide to pay an additional sum for clearly defined reasons of up to 25% of the maximum of the salary range.</w:t>
      </w:r>
    </w:p>
    <w:p w14:paraId="6DA26836" w14:textId="7925B4CE" w:rsidR="00AE7592" w:rsidRDefault="00AE7592" w:rsidP="005725C5">
      <w:r>
        <w:t>The Governing Body</w:t>
      </w:r>
      <w:r w:rsidR="005D0F73">
        <w:t>,</w:t>
      </w:r>
      <w:r>
        <w:t xml:space="preserve"> </w:t>
      </w:r>
      <w:proofErr w:type="gramStart"/>
      <w:r>
        <w:t>in order to</w:t>
      </w:r>
      <w:proofErr w:type="gramEnd"/>
      <w:r>
        <w:t xml:space="preserve"> recognise any additional work during the year and into periods of school closure, or as part of the commitment to </w:t>
      </w:r>
      <w:proofErr w:type="spellStart"/>
      <w:r>
        <w:t>well being</w:t>
      </w:r>
      <w:proofErr w:type="spellEnd"/>
      <w:r w:rsidR="005D0F73">
        <w:t>,</w:t>
      </w:r>
      <w:r>
        <w:t xml:space="preserve"> will </w:t>
      </w:r>
      <w:r w:rsidR="005D0F73">
        <w:t>allow</w:t>
      </w:r>
      <w:r>
        <w:t xml:space="preserve"> Headteachers/Executive Headteachers up to 10 days</w:t>
      </w:r>
      <w:r w:rsidR="005D0F73">
        <w:t>’</w:t>
      </w:r>
      <w:r>
        <w:t xml:space="preserve"> leave during term time. </w:t>
      </w:r>
    </w:p>
    <w:p w14:paraId="4AC269C4" w14:textId="4D03E365" w:rsidR="00A322B6" w:rsidRDefault="00A322B6" w:rsidP="005725C5">
      <w:r>
        <w:t xml:space="preserve">The Governing Body will normally appoint new </w:t>
      </w:r>
      <w:r w:rsidR="005D0F73">
        <w:t>L</w:t>
      </w:r>
      <w:r>
        <w:t xml:space="preserve">eadership </w:t>
      </w:r>
      <w:r w:rsidR="005D0F73">
        <w:t>T</w:t>
      </w:r>
      <w:r>
        <w:t>eachers at the bottom point of the relevant pay range.</w:t>
      </w:r>
    </w:p>
    <w:p w14:paraId="46C8EBB5" w14:textId="6E0ABE82" w:rsidR="00A322B6" w:rsidRDefault="00A322B6" w:rsidP="005725C5">
      <w:r>
        <w:t xml:space="preserve">The Governing Body will pay teachers on the leadership range only where </w:t>
      </w:r>
      <w:r w:rsidR="005D0F73">
        <w:t>it</w:t>
      </w:r>
      <w:r>
        <w:t xml:space="preserve"> is satisfied that, in the context of the teacher’s duties, the role includes a significant responsibility that is not required of all classroom teachers or TLR holders, and that the role –</w:t>
      </w:r>
    </w:p>
    <w:p w14:paraId="1F8C10BE" w14:textId="1914748C" w:rsidR="00A322B6" w:rsidRDefault="00A322B6" w:rsidP="00A322B6">
      <w:pPr>
        <w:pStyle w:val="ListParagraph"/>
        <w:numPr>
          <w:ilvl w:val="0"/>
          <w:numId w:val="3"/>
        </w:numPr>
      </w:pPr>
      <w:r>
        <w:t xml:space="preserve">is focussed on teaching and </w:t>
      </w:r>
      <w:proofErr w:type="gramStart"/>
      <w:r>
        <w:t>learning;</w:t>
      </w:r>
      <w:proofErr w:type="gramEnd"/>
    </w:p>
    <w:p w14:paraId="40C7E7B1" w14:textId="2706D2D3" w:rsidR="00A322B6" w:rsidRDefault="00A322B6" w:rsidP="00A322B6">
      <w:pPr>
        <w:pStyle w:val="ListParagraph"/>
        <w:numPr>
          <w:ilvl w:val="0"/>
          <w:numId w:val="3"/>
        </w:numPr>
      </w:pPr>
      <w:r>
        <w:t xml:space="preserve">requires the exercise of a teacher’s professional skills and </w:t>
      </w:r>
      <w:proofErr w:type="gramStart"/>
      <w:r>
        <w:t>judgement;</w:t>
      </w:r>
      <w:proofErr w:type="gramEnd"/>
    </w:p>
    <w:p w14:paraId="4BD2A5A5" w14:textId="3C632578" w:rsidR="00A322B6" w:rsidRDefault="00A322B6" w:rsidP="00A322B6">
      <w:pPr>
        <w:pStyle w:val="ListParagraph"/>
        <w:numPr>
          <w:ilvl w:val="0"/>
          <w:numId w:val="3"/>
        </w:numPr>
      </w:pPr>
      <w:r>
        <w:t xml:space="preserve">requires the teacher to lead and manage the </w:t>
      </w:r>
      <w:proofErr w:type="gramStart"/>
      <w:r>
        <w:t>school;</w:t>
      </w:r>
      <w:proofErr w:type="gramEnd"/>
    </w:p>
    <w:p w14:paraId="42A12F5B" w14:textId="2A0F5617" w:rsidR="00A322B6" w:rsidRDefault="00A322B6" w:rsidP="00A322B6">
      <w:pPr>
        <w:pStyle w:val="ListParagraph"/>
        <w:numPr>
          <w:ilvl w:val="0"/>
          <w:numId w:val="3"/>
        </w:numPr>
      </w:pPr>
      <w:r>
        <w:t xml:space="preserve">develop teaching and learning responsibilities across the </w:t>
      </w:r>
      <w:proofErr w:type="gramStart"/>
      <w:r>
        <w:t>school;</w:t>
      </w:r>
      <w:proofErr w:type="gramEnd"/>
    </w:p>
    <w:p w14:paraId="296685A0" w14:textId="775058B0" w:rsidR="00A322B6" w:rsidRDefault="00A322B6" w:rsidP="00A322B6">
      <w:pPr>
        <w:pStyle w:val="ListParagraph"/>
        <w:numPr>
          <w:ilvl w:val="0"/>
          <w:numId w:val="3"/>
        </w:numPr>
      </w:pPr>
      <w:r>
        <w:t xml:space="preserve">have accountability for the standards of achievement and behaviour of pupils across the </w:t>
      </w:r>
      <w:proofErr w:type="gramStart"/>
      <w:r>
        <w:t>school;</w:t>
      </w:r>
      <w:proofErr w:type="gramEnd"/>
    </w:p>
    <w:p w14:paraId="60673EBD" w14:textId="4CCF524C" w:rsidR="00A322B6" w:rsidRDefault="00A322B6" w:rsidP="00A322B6">
      <w:pPr>
        <w:pStyle w:val="ListParagraph"/>
        <w:numPr>
          <w:ilvl w:val="0"/>
          <w:numId w:val="3"/>
        </w:numPr>
      </w:pPr>
      <w:r>
        <w:t xml:space="preserve">have accountability for the planning and deployment of school’s </w:t>
      </w:r>
      <w:proofErr w:type="gramStart"/>
      <w:r>
        <w:t>resources;</w:t>
      </w:r>
      <w:proofErr w:type="gramEnd"/>
    </w:p>
    <w:p w14:paraId="48951071" w14:textId="3E9E4E8B" w:rsidR="00A322B6" w:rsidRDefault="00766342" w:rsidP="00A322B6">
      <w:pPr>
        <w:pStyle w:val="ListParagraph"/>
        <w:numPr>
          <w:ilvl w:val="0"/>
          <w:numId w:val="3"/>
        </w:numPr>
      </w:pPr>
      <w:r>
        <w:t xml:space="preserve">must lead policy development and implementation across the school in accordance with statutory </w:t>
      </w:r>
      <w:proofErr w:type="gramStart"/>
      <w:r>
        <w:t>provisions;</w:t>
      </w:r>
      <w:proofErr w:type="gramEnd"/>
    </w:p>
    <w:p w14:paraId="5A37FF2A" w14:textId="7B45292C" w:rsidR="00766342" w:rsidRDefault="00766342" w:rsidP="00A322B6">
      <w:pPr>
        <w:pStyle w:val="ListParagraph"/>
        <w:numPr>
          <w:ilvl w:val="0"/>
          <w:numId w:val="3"/>
        </w:numPr>
      </w:pPr>
      <w:r>
        <w:t xml:space="preserve">must manage whole school operational </w:t>
      </w:r>
      <w:proofErr w:type="gramStart"/>
      <w:r>
        <w:t>activity;</w:t>
      </w:r>
      <w:proofErr w:type="gramEnd"/>
    </w:p>
    <w:p w14:paraId="27497BB1" w14:textId="2F8AD53B" w:rsidR="00766342" w:rsidRDefault="00766342" w:rsidP="00A322B6">
      <w:pPr>
        <w:pStyle w:val="ListParagraph"/>
        <w:numPr>
          <w:ilvl w:val="0"/>
          <w:numId w:val="3"/>
        </w:numPr>
      </w:pPr>
      <w:r>
        <w:lastRenderedPageBreak/>
        <w:t>work with external bodies and agencies; and</w:t>
      </w:r>
    </w:p>
    <w:p w14:paraId="7C230887" w14:textId="7A84A288" w:rsidR="00766342" w:rsidRDefault="00766342" w:rsidP="00A322B6">
      <w:pPr>
        <w:pStyle w:val="ListParagraph"/>
        <w:numPr>
          <w:ilvl w:val="0"/>
          <w:numId w:val="3"/>
        </w:numPr>
      </w:pPr>
      <w:r>
        <w:t xml:space="preserve">secure pupils’ access to their educational </w:t>
      </w:r>
      <w:proofErr w:type="gramStart"/>
      <w:r>
        <w:t>entitlements;</w:t>
      </w:r>
      <w:proofErr w:type="gramEnd"/>
    </w:p>
    <w:p w14:paraId="4D5C2C53" w14:textId="0FB10B0D" w:rsidR="00766342" w:rsidRDefault="00766342" w:rsidP="00A322B6">
      <w:pPr>
        <w:pStyle w:val="ListParagraph"/>
        <w:numPr>
          <w:ilvl w:val="0"/>
          <w:numId w:val="3"/>
        </w:numPr>
      </w:pPr>
      <w:r>
        <w:t xml:space="preserve">have an impact on the educational progress of the school’s </w:t>
      </w:r>
      <w:proofErr w:type="gramStart"/>
      <w:r>
        <w:t>pupils;</w:t>
      </w:r>
      <w:proofErr w:type="gramEnd"/>
    </w:p>
    <w:p w14:paraId="6B648048" w14:textId="77777777" w:rsidR="00766342" w:rsidRDefault="00766342" w:rsidP="00A322B6">
      <w:pPr>
        <w:pStyle w:val="ListParagraph"/>
        <w:numPr>
          <w:ilvl w:val="0"/>
          <w:numId w:val="3"/>
        </w:numPr>
      </w:pPr>
      <w:r>
        <w:t xml:space="preserve">must lead, </w:t>
      </w:r>
      <w:proofErr w:type="gramStart"/>
      <w:r>
        <w:t>develop</w:t>
      </w:r>
      <w:proofErr w:type="gramEnd"/>
      <w:r>
        <w:t xml:space="preserve"> and enhance the teaching practice of the school’s staff; and</w:t>
      </w:r>
    </w:p>
    <w:p w14:paraId="55C2E35A" w14:textId="2D3B81BB" w:rsidR="00766342" w:rsidRDefault="00766342" w:rsidP="00A322B6">
      <w:pPr>
        <w:pStyle w:val="ListParagraph"/>
        <w:numPr>
          <w:ilvl w:val="0"/>
          <w:numId w:val="3"/>
        </w:numPr>
      </w:pPr>
      <w:r>
        <w:t>have line management responsibility for a significant number of people and/or the line management of other line managers</w:t>
      </w:r>
      <w:r w:rsidR="005D0F73">
        <w:t>.</w:t>
      </w:r>
    </w:p>
    <w:p w14:paraId="26D322F7" w14:textId="06965D74" w:rsidR="00E9567B" w:rsidRPr="00E9567B" w:rsidRDefault="00E9567B" w:rsidP="00AF09E4">
      <w:pPr>
        <w:rPr>
          <w:color w:val="FF0000"/>
        </w:rPr>
      </w:pPr>
      <w:r w:rsidRPr="00E9567B">
        <w:rPr>
          <w:color w:val="FF0000"/>
        </w:rPr>
        <w:t xml:space="preserve">If the school </w:t>
      </w:r>
      <w:proofErr w:type="gramStart"/>
      <w:r w:rsidRPr="00E9567B">
        <w:rPr>
          <w:color w:val="FF0000"/>
        </w:rPr>
        <w:t>enters into</w:t>
      </w:r>
      <w:proofErr w:type="gramEnd"/>
      <w:r w:rsidRPr="00E9567B">
        <w:rPr>
          <w:color w:val="FF0000"/>
        </w:rPr>
        <w:t xml:space="preserve"> a partnership with another school or schools, and the Headteacher becomes an Executive Headteacher</w:t>
      </w:r>
      <w:r w:rsidR="005D0F73">
        <w:rPr>
          <w:color w:val="FF0000"/>
        </w:rPr>
        <w:t>,</w:t>
      </w:r>
      <w:r w:rsidRPr="00E9567B">
        <w:rPr>
          <w:color w:val="FF0000"/>
        </w:rPr>
        <w:t xml:space="preserve"> the group sizes of both or all the schools involved will be combined to determine the group size for the partnership and this will be the basis for the salary range for the role of Executive Headteacher. Depending on the current salary of the Headteacher and the individual circumstances leading to the need for a partnership, governors may also pay an additional sum of up to £5000. When the partnership comes to an end the </w:t>
      </w:r>
      <w:proofErr w:type="gramStart"/>
      <w:r w:rsidRPr="00E9567B">
        <w:rPr>
          <w:color w:val="FF0000"/>
        </w:rPr>
        <w:t>Executive  Headteacher</w:t>
      </w:r>
      <w:proofErr w:type="gramEnd"/>
      <w:r w:rsidRPr="00E9567B">
        <w:rPr>
          <w:color w:val="FF0000"/>
        </w:rPr>
        <w:t xml:space="preserve"> will return to their role of Headteacher, and substantive salary,  based on the group size of the school who employs them.</w:t>
      </w:r>
    </w:p>
    <w:p w14:paraId="18A67EFD" w14:textId="77777777" w:rsidR="00E9567B" w:rsidRDefault="00E9567B" w:rsidP="00AF09E4">
      <w:pPr>
        <w:rPr>
          <w:b/>
          <w:bCs/>
        </w:rPr>
      </w:pPr>
    </w:p>
    <w:p w14:paraId="1ECE97E1" w14:textId="7F7D72D5" w:rsidR="00AF09E4" w:rsidRDefault="00AF09E4" w:rsidP="00AF09E4">
      <w:pPr>
        <w:rPr>
          <w:b/>
          <w:bCs/>
        </w:rPr>
      </w:pPr>
      <w:r>
        <w:rPr>
          <w:b/>
          <w:bCs/>
        </w:rPr>
        <w:t xml:space="preserve">Pay Progression Based </w:t>
      </w:r>
      <w:r w:rsidR="005D0F73">
        <w:rPr>
          <w:b/>
          <w:bCs/>
        </w:rPr>
        <w:t>o</w:t>
      </w:r>
      <w:r>
        <w:rPr>
          <w:b/>
          <w:bCs/>
        </w:rPr>
        <w:t>n Performance</w:t>
      </w:r>
    </w:p>
    <w:p w14:paraId="456B9E08" w14:textId="0AAB4F84" w:rsidR="00AF09E4" w:rsidRDefault="00AF09E4" w:rsidP="00AF09E4">
      <w:r>
        <w:t>The arrangements for teacher appraisal are set out in the school’s appraisal policy</w:t>
      </w:r>
      <w:r w:rsidR="005D0F73">
        <w:t>.</w:t>
      </w:r>
    </w:p>
    <w:p w14:paraId="00937ED2" w14:textId="235AE928" w:rsidR="00AF09E4" w:rsidRDefault="00AF09E4" w:rsidP="00AF09E4">
      <w:r>
        <w:t>Decisions regarding pay progression will be made with reference to the teachers’ appraisal reports and the pay recommendations they contain. In the case of Early Career Teachers pay decisions will be made on completion of the induction process.</w:t>
      </w:r>
    </w:p>
    <w:p w14:paraId="637E5B1C" w14:textId="77777777" w:rsidR="00AF09E4" w:rsidRDefault="00AF09E4" w:rsidP="00AF09E4">
      <w:r>
        <w:t xml:space="preserve">To be fair and transparent, assessments of performance will be properly rooted in evidence.  Fairness will be assured by annual monitoring of the application of the pay policy and pay decisions.  The evidence used to determine pay progression will be only that available through the appraisal process and not through the misuse of pupil voice, parental </w:t>
      </w:r>
      <w:proofErr w:type="gramStart"/>
      <w:r>
        <w:t>opinion</w:t>
      </w:r>
      <w:proofErr w:type="gramEnd"/>
      <w:r>
        <w:t xml:space="preserve"> and other sources.</w:t>
      </w:r>
    </w:p>
    <w:p w14:paraId="50E91EF0" w14:textId="13265D9F" w:rsidR="00445829" w:rsidRDefault="00AF09E4" w:rsidP="00AF09E4">
      <w:r>
        <w:t xml:space="preserve">Where teachers have joined the school part way through an appraisal cycle, the Governing Body will, where necessary, seek evidence from the previous schools to assist pay decisions and will only, if necessary, seek evidence </w:t>
      </w:r>
      <w:r w:rsidR="00445829">
        <w:t>from the teachers themselves.</w:t>
      </w:r>
    </w:p>
    <w:p w14:paraId="41E26B23" w14:textId="3666A4C6" w:rsidR="00445829" w:rsidRDefault="00445829" w:rsidP="00AF09E4">
      <w:r>
        <w:t xml:space="preserve">Teachers’ appraisal reports will contain pay recommendations. Final decisions about </w:t>
      </w:r>
      <w:proofErr w:type="gramStart"/>
      <w:r>
        <w:t>whether or not</w:t>
      </w:r>
      <w:proofErr w:type="gramEnd"/>
      <w:r>
        <w:t xml:space="preserve"> to accept a pay recommendation will be made by the Governing Body, having regard to the appraisal report and taking into account advice from the senior leadership team. </w:t>
      </w:r>
    </w:p>
    <w:p w14:paraId="1ACC0491" w14:textId="0992BDFA" w:rsidR="00445829" w:rsidRDefault="00445829" w:rsidP="00AF09E4">
      <w:r>
        <w:t xml:space="preserve">The Governing Body will make pay decisions according to the criteria in the current STPCD.  All teachers can expect progression to the top of their pay range </w:t>
      </w:r>
      <w:proofErr w:type="gramStart"/>
      <w:r>
        <w:t>as a result of</w:t>
      </w:r>
      <w:proofErr w:type="gramEnd"/>
      <w:r>
        <w:t xml:space="preserve"> successful appraisal reviews.</w:t>
      </w:r>
    </w:p>
    <w:p w14:paraId="5D8EDDC9" w14:textId="6F3C1AA3" w:rsidR="00445829" w:rsidRDefault="00445829" w:rsidP="00AF09E4">
      <w:pPr>
        <w:rPr>
          <w:i/>
          <w:iCs/>
        </w:rPr>
      </w:pPr>
      <w:r>
        <w:rPr>
          <w:i/>
          <w:iCs/>
        </w:rPr>
        <w:t>Classroom teachers on the Main Pay Range</w:t>
      </w:r>
      <w:r w:rsidR="00704DDC">
        <w:rPr>
          <w:i/>
          <w:iCs/>
        </w:rPr>
        <w:t xml:space="preserve"> and Upper Pay Range </w:t>
      </w:r>
    </w:p>
    <w:p w14:paraId="3D74497C" w14:textId="6916316C" w:rsidR="00445829" w:rsidRDefault="00445829" w:rsidP="00AF09E4">
      <w:r>
        <w:t>Classroom teachers will be awarded pay progression on the Main Pay Range</w:t>
      </w:r>
      <w:r w:rsidR="00704DDC">
        <w:t xml:space="preserve">/Upper Pay range/ Leading Practitioner Pay Range </w:t>
      </w:r>
      <w:r>
        <w:t xml:space="preserve">following </w:t>
      </w:r>
      <w:r w:rsidR="00704DDC">
        <w:t>each successful appraisal review.  Reviews will be deemed to be successful unless significant concerns about standards of performance have been raised in writing with the teacher during the annual appraisal cycle and have not been sufficiently addressed through support provided by the school by the conclusion of that process.</w:t>
      </w:r>
    </w:p>
    <w:p w14:paraId="049FD2FF" w14:textId="49D9014B" w:rsidR="00704DDC" w:rsidRDefault="00704DDC" w:rsidP="00AF09E4">
      <w:r>
        <w:t>Classroom teachers in their induction year will be awarded pay progression on the successful completion of induction.</w:t>
      </w:r>
    </w:p>
    <w:p w14:paraId="25137F2D" w14:textId="63E8BE0A" w:rsidR="00704DDC" w:rsidRDefault="00704DDC" w:rsidP="00AF09E4">
      <w:pPr>
        <w:rPr>
          <w:i/>
          <w:iCs/>
        </w:rPr>
      </w:pPr>
      <w:r>
        <w:rPr>
          <w:i/>
          <w:iCs/>
        </w:rPr>
        <w:lastRenderedPageBreak/>
        <w:t>Unqualified Teachers</w:t>
      </w:r>
    </w:p>
    <w:p w14:paraId="72CF7400" w14:textId="414DDD56" w:rsidR="00704DDC" w:rsidRDefault="00704DDC" w:rsidP="00AF09E4">
      <w:r>
        <w:t xml:space="preserve">Unqualified classroom teachers will be awarded pay progression on their pay scale following each successful appraisal review. Reviews will be deemed to be successful unless significant concerns about standards of performance </w:t>
      </w:r>
      <w:r w:rsidR="00E7575D">
        <w:t>have been raised in writing with the teacher during the annual appraisal cycle and have not been sufficiently addressed through support provided by the school by the conclusion of that process.</w:t>
      </w:r>
    </w:p>
    <w:p w14:paraId="6331166A" w14:textId="44209E98" w:rsidR="00E7575D" w:rsidRDefault="00E7575D" w:rsidP="00AF09E4">
      <w:pPr>
        <w:rPr>
          <w:i/>
          <w:iCs/>
        </w:rPr>
      </w:pPr>
      <w:r>
        <w:rPr>
          <w:i/>
          <w:iCs/>
        </w:rPr>
        <w:t>Leadership teachers</w:t>
      </w:r>
    </w:p>
    <w:p w14:paraId="19A6213B" w14:textId="407E9198" w:rsidR="00E7575D" w:rsidRDefault="00E7575D" w:rsidP="00AF09E4">
      <w:r>
        <w:t xml:space="preserve">The </w:t>
      </w:r>
      <w:r w:rsidR="00BB771A">
        <w:t>L</w:t>
      </w:r>
      <w:r>
        <w:t xml:space="preserve">eadership </w:t>
      </w:r>
      <w:r w:rsidR="00BB771A">
        <w:t>T</w:t>
      </w:r>
      <w:r>
        <w:t>eachers wi</w:t>
      </w:r>
      <w:r w:rsidR="006514CA">
        <w:t>l</w:t>
      </w:r>
      <w:r>
        <w:t xml:space="preserve">l be awarded additional scale points in accordance with the current STPCD </w:t>
      </w:r>
      <w:proofErr w:type="gramStart"/>
      <w:r w:rsidR="00BB771A">
        <w:t>i.e.</w:t>
      </w:r>
      <w:proofErr w:type="gramEnd"/>
      <w:r>
        <w:t xml:space="preserve"> they must demonstrate sustained high quality performance in respect of school leadership and management and pupil progression.</w:t>
      </w:r>
    </w:p>
    <w:p w14:paraId="09A8505A" w14:textId="36DD8877" w:rsidR="00704DDC" w:rsidRDefault="00E7575D" w:rsidP="00AF09E4">
      <w:pPr>
        <w:rPr>
          <w:b/>
          <w:bCs/>
        </w:rPr>
      </w:pPr>
      <w:r>
        <w:t xml:space="preserve"> </w:t>
      </w:r>
      <w:r w:rsidR="006514CA">
        <w:rPr>
          <w:b/>
          <w:bCs/>
        </w:rPr>
        <w:t>Movement to the Upper Range</w:t>
      </w:r>
    </w:p>
    <w:p w14:paraId="027C2647" w14:textId="3259C10B" w:rsidR="006514CA" w:rsidRDefault="006514CA" w:rsidP="00AF09E4">
      <w:pPr>
        <w:rPr>
          <w:i/>
          <w:iCs/>
        </w:rPr>
      </w:pPr>
      <w:r>
        <w:rPr>
          <w:i/>
          <w:iCs/>
        </w:rPr>
        <w:t>Applications and evidence</w:t>
      </w:r>
    </w:p>
    <w:p w14:paraId="3036F1EB" w14:textId="77777777" w:rsidR="006514CA" w:rsidRDefault="006514CA" w:rsidP="00AF09E4">
      <w:r>
        <w:t xml:space="preserve">Any qualified teacher may apply to be paid on the Upper Pay Range and any such application must be assessed in line with this policy.  It is the responsibility of the teacher to decide </w:t>
      </w:r>
      <w:proofErr w:type="gramStart"/>
      <w:r>
        <w:t>whether or not</w:t>
      </w:r>
      <w:proofErr w:type="gramEnd"/>
      <w:r>
        <w:t xml:space="preserve"> they wish to apply and to be paid on the Upper pay Range.</w:t>
      </w:r>
    </w:p>
    <w:p w14:paraId="61444124" w14:textId="77777777" w:rsidR="006514CA" w:rsidRDefault="006514CA" w:rsidP="00AF09E4">
      <w:r>
        <w:t>Applications may be made once a year. Where teachers wish to be assessed, they should notify their appraiser in writing.  The teacher’s application will be appended to their appraisal planning statement.  The evidence to be used will be only that available through the appraisal process.</w:t>
      </w:r>
    </w:p>
    <w:p w14:paraId="7B63870D" w14:textId="5B403621" w:rsidR="00DC39B7" w:rsidRDefault="006514CA" w:rsidP="00AF09E4">
      <w:r>
        <w:t xml:space="preserve">If a teacher works simultaneously at another school(s), they may submit separate applications if they wish to apply to be paid on the Upper Pay Range in that school or schools. </w:t>
      </w:r>
      <w:r w:rsidR="00BB771A">
        <w:t>No</w:t>
      </w:r>
      <w:r>
        <w:t xml:space="preserve"> school will be bound by any pay decision made by another school.</w:t>
      </w:r>
    </w:p>
    <w:p w14:paraId="3A60559B" w14:textId="6030193B" w:rsidR="00DC39B7" w:rsidRDefault="00DC39B7" w:rsidP="00AF09E4">
      <w:pPr>
        <w:rPr>
          <w:i/>
          <w:iCs/>
        </w:rPr>
      </w:pPr>
      <w:r>
        <w:rPr>
          <w:i/>
          <w:iCs/>
        </w:rPr>
        <w:t>The Assessment</w:t>
      </w:r>
    </w:p>
    <w:p w14:paraId="73FB994C" w14:textId="395C633A" w:rsidR="00DC39B7" w:rsidRDefault="00DC39B7" w:rsidP="00AF09E4">
      <w:r>
        <w:t>An application from a qualified teacher will be successful where the Governing Body is satisfied that:</w:t>
      </w:r>
    </w:p>
    <w:p w14:paraId="08C43AB1" w14:textId="418FE058" w:rsidR="00DC39B7" w:rsidRDefault="00DC39B7" w:rsidP="00DC39B7">
      <w:pPr>
        <w:pStyle w:val="ListParagraph"/>
        <w:numPr>
          <w:ilvl w:val="0"/>
          <w:numId w:val="4"/>
        </w:numPr>
      </w:pPr>
      <w:r>
        <w:t>the teacher is highly competent in all elements of the relevant standards; and</w:t>
      </w:r>
    </w:p>
    <w:p w14:paraId="479E714D" w14:textId="49697152" w:rsidR="00DC39B7" w:rsidRDefault="00DC39B7" w:rsidP="00DC39B7">
      <w:pPr>
        <w:pStyle w:val="ListParagraph"/>
        <w:numPr>
          <w:ilvl w:val="0"/>
          <w:numId w:val="4"/>
        </w:numPr>
      </w:pPr>
      <w:r>
        <w:t>the teacher’s achievements and contribution to the school are substantial and sustained</w:t>
      </w:r>
      <w:r w:rsidR="00BB771A">
        <w:t>.</w:t>
      </w:r>
    </w:p>
    <w:p w14:paraId="4E70042F" w14:textId="2BD02999" w:rsidR="00DC39B7" w:rsidRDefault="00DC39B7" w:rsidP="00DC39B7">
      <w:r>
        <w:t xml:space="preserve">The Governing Body will be satisfied that the teacher has met the expectations </w:t>
      </w:r>
      <w:r w:rsidR="009C3A3C">
        <w:t>of</w:t>
      </w:r>
      <w:r>
        <w:t xml:space="preserve"> progression to the Upper Pay Range where the Upper Pay Range</w:t>
      </w:r>
      <w:r w:rsidR="009C3A3C">
        <w:t xml:space="preserve"> criteria (Appendix 3) have been satisfied as evidenced by no more than two consecutive successful appraisal reviews.</w:t>
      </w:r>
    </w:p>
    <w:p w14:paraId="6BD89FAE" w14:textId="7FF3E15B" w:rsidR="009C3A3C" w:rsidRDefault="009C3A3C" w:rsidP="00DC39B7">
      <w:r>
        <w:t>In making its decision, the Governing Body will have regard to the most recent appraisal review or, at most, the two most recent appraisal reviews. Reviews will be deemed to be successful unless significant concerns about standards of performance have been raised in writing with the teacher during the annual appraisal cycle and have not been sufficiently addressed through support provided by the school by the conclusion of that process.</w:t>
      </w:r>
    </w:p>
    <w:p w14:paraId="48708F09" w14:textId="6D2D2EC1" w:rsidR="007C1AC8" w:rsidRDefault="009C3A3C" w:rsidP="00DC39B7">
      <w:r>
        <w:t>The Governing Body will pay classroom teachers who are post threshold teachers (as defined by the 2012 STPCD) on the Upper Pay Range.  This includes teachers formerly employed as leadership group teachers for more than one year or as local authority or LDBS advisers and other teachers who have met standards equivalent to the Upper Pay Scale standards (</w:t>
      </w:r>
      <w:proofErr w:type="spellStart"/>
      <w:proofErr w:type="gramStart"/>
      <w:r>
        <w:t>eg</w:t>
      </w:r>
      <w:proofErr w:type="spellEnd"/>
      <w:proofErr w:type="gramEnd"/>
      <w:r>
        <w:t xml:space="preserve"> teachers in sixth form colleges).</w:t>
      </w:r>
    </w:p>
    <w:p w14:paraId="79678564" w14:textId="13754118" w:rsidR="00BB771A" w:rsidRDefault="00BB771A" w:rsidP="00DC39B7"/>
    <w:p w14:paraId="144F01A0" w14:textId="77777777" w:rsidR="00BB771A" w:rsidRDefault="00BB771A" w:rsidP="00DC39B7"/>
    <w:p w14:paraId="3A6C3FFA" w14:textId="77777777" w:rsidR="007C1AC8" w:rsidRDefault="007C1AC8" w:rsidP="00DC39B7">
      <w:pPr>
        <w:rPr>
          <w:i/>
          <w:iCs/>
        </w:rPr>
      </w:pPr>
      <w:r>
        <w:rPr>
          <w:i/>
          <w:iCs/>
        </w:rPr>
        <w:lastRenderedPageBreak/>
        <w:t>Processes and procedures</w:t>
      </w:r>
    </w:p>
    <w:p w14:paraId="3AF9F978" w14:textId="4B71DCC9" w:rsidR="007C1AC8" w:rsidRDefault="007C1AC8" w:rsidP="00DC39B7">
      <w:r>
        <w:t xml:space="preserve">The assessment </w:t>
      </w:r>
      <w:r w:rsidR="00AE7592">
        <w:t>will</w:t>
      </w:r>
      <w:r>
        <w:t xml:space="preserve"> be made within 10 working days of the conclusion of the appraisal process. If successful</w:t>
      </w:r>
      <w:r w:rsidR="00D53150">
        <w:t>,</w:t>
      </w:r>
      <w:r>
        <w:t xml:space="preserve"> applicants will move to the Upper Pay Range from the previous 1</w:t>
      </w:r>
      <w:r w:rsidR="00D53150" w:rsidRPr="00D53150">
        <w:rPr>
          <w:vertAlign w:val="superscript"/>
        </w:rPr>
        <w:t>st</w:t>
      </w:r>
      <w:r w:rsidR="00D53150">
        <w:t xml:space="preserve"> </w:t>
      </w:r>
      <w:r>
        <w:t>September and will be placed on point 1 of that pay scale.  If unsuccessful</w:t>
      </w:r>
      <w:r w:rsidR="00B6172A">
        <w:t>,</w:t>
      </w:r>
      <w:r>
        <w:t xml:space="preserve"> feedback will be given by the appraiser as </w:t>
      </w:r>
      <w:r w:rsidR="00B6172A">
        <w:t>quickly</w:t>
      </w:r>
      <w:r>
        <w:t xml:space="preserve"> as possible and at least within 5 working days of the </w:t>
      </w:r>
      <w:proofErr w:type="gramStart"/>
      <w:r>
        <w:t>decision</w:t>
      </w:r>
      <w:r w:rsidR="00B6172A">
        <w:t>,</w:t>
      </w:r>
      <w:r>
        <w:t xml:space="preserve"> and</w:t>
      </w:r>
      <w:proofErr w:type="gramEnd"/>
      <w:r>
        <w:t xml:space="preserve"> will cover the reasons for the decision and the appeals arrangements available to the teacher.  Any appeal against a decision not to move the teacher to the Upper Pay Range will be heard under the school’s pay appeals arrangements.</w:t>
      </w:r>
    </w:p>
    <w:p w14:paraId="2464E42D" w14:textId="77777777" w:rsidR="007C1AC8" w:rsidRDefault="007C1AC8" w:rsidP="00DC39B7">
      <w:pPr>
        <w:rPr>
          <w:b/>
          <w:bCs/>
        </w:rPr>
      </w:pPr>
      <w:r>
        <w:rPr>
          <w:b/>
          <w:bCs/>
        </w:rPr>
        <w:t>Part-time Teachers</w:t>
      </w:r>
    </w:p>
    <w:p w14:paraId="4860A5F8" w14:textId="5E320EF2" w:rsidR="00E87893" w:rsidRDefault="007C1AC8" w:rsidP="00DC39B7">
      <w:r>
        <w:t>Teachers employed on an ongoing basis at the school but who work less than a full working week are deemed to be part-time.  The Governing Body will give them a written statement detailing their working time obligations and the standard mechanism used to determine their pay, subject to the provisions of the statutory</w:t>
      </w:r>
      <w:r w:rsidR="00E87893">
        <w:t xml:space="preserve"> pay and working time arrangements and by comparison with the school’s timetabled teaching week for a full-time teacher in an equivalent post. Any additional hours worked by agreement from time to time will be paid at the same rate.</w:t>
      </w:r>
    </w:p>
    <w:p w14:paraId="5EC6CFD9" w14:textId="77777777" w:rsidR="00E87893" w:rsidRDefault="00E87893" w:rsidP="00DC39B7">
      <w:pPr>
        <w:rPr>
          <w:b/>
          <w:bCs/>
        </w:rPr>
      </w:pPr>
      <w:r>
        <w:rPr>
          <w:b/>
          <w:bCs/>
        </w:rPr>
        <w:t>Short notice/supply teachers</w:t>
      </w:r>
    </w:p>
    <w:p w14:paraId="00D30560" w14:textId="77777777" w:rsidR="00E87893" w:rsidRDefault="00E87893" w:rsidP="00DC39B7">
      <w:r>
        <w:t xml:space="preserve">The Governing Body will, wherever possible, seek to employ supply staff directly and not via agencies.  When employing staff directly on a </w:t>
      </w:r>
      <w:proofErr w:type="gramStart"/>
      <w:r>
        <w:t>short term</w:t>
      </w:r>
      <w:proofErr w:type="gramEnd"/>
      <w:r>
        <w:t xml:space="preserve"> basis, it will employ them on the same pay and working time arrangements as permanent staff and will apply the principles of pay portability for teachers outlined earlier in this policy.</w:t>
      </w:r>
    </w:p>
    <w:p w14:paraId="7121B14D" w14:textId="77777777" w:rsidR="00E87893" w:rsidRDefault="00E87893" w:rsidP="00DC39B7">
      <w:r>
        <w:t xml:space="preserve">Teachers employed on a day- to- day basis or other </w:t>
      </w:r>
      <w:proofErr w:type="gramStart"/>
      <w:r>
        <w:t>short term</w:t>
      </w:r>
      <w:proofErr w:type="gramEnd"/>
      <w:r>
        <w:t xml:space="preserve"> basis will be paid on a daily basis calculated on the assumption that a full working year consists of 195 days; periods of employment for less than a day being calculated pro rata. Teachers who are employed to teach for the full pupil day will be paid at a daily rate of 1/195</w:t>
      </w:r>
      <w:r w:rsidRPr="00E87893">
        <w:rPr>
          <w:vertAlign w:val="superscript"/>
        </w:rPr>
        <w:t>th</w:t>
      </w:r>
      <w:r>
        <w:t xml:space="preserve"> of the annual pay they would receive if engaged on a regular contract.  Teachers who work less than a full day will be hourly paid and will also have their salary calculated as an annual amount which will then be divided by 195 then divided again by the proportion of the full pupil day which they teach to arrive at the hourly rate.</w:t>
      </w:r>
    </w:p>
    <w:p w14:paraId="15433781" w14:textId="77777777" w:rsidR="004479E7" w:rsidRDefault="00E87893" w:rsidP="00DC39B7">
      <w:pPr>
        <w:rPr>
          <w:b/>
          <w:bCs/>
        </w:rPr>
      </w:pPr>
      <w:r>
        <w:rPr>
          <w:b/>
          <w:bCs/>
        </w:rPr>
        <w:t xml:space="preserve">Discretionary </w:t>
      </w:r>
      <w:r w:rsidR="004479E7">
        <w:rPr>
          <w:b/>
          <w:bCs/>
        </w:rPr>
        <w:t>allowances and payments</w:t>
      </w:r>
    </w:p>
    <w:p w14:paraId="1E696B47" w14:textId="77777777" w:rsidR="004479E7" w:rsidRDefault="004479E7" w:rsidP="00DC39B7">
      <w:pPr>
        <w:rPr>
          <w:i/>
          <w:iCs/>
        </w:rPr>
      </w:pPr>
      <w:r>
        <w:rPr>
          <w:i/>
          <w:iCs/>
        </w:rPr>
        <w:t>Teaching and Learning Responsibility Payments (TLRs)</w:t>
      </w:r>
    </w:p>
    <w:p w14:paraId="52BD29FC" w14:textId="5A13C1FA" w:rsidR="00811368" w:rsidRDefault="004479E7" w:rsidP="00811368">
      <w:r>
        <w:t>The Governing Body pays TLR1 and</w:t>
      </w:r>
      <w:r w:rsidR="00D53150">
        <w:t>/</w:t>
      </w:r>
      <w:r>
        <w:t xml:space="preserve">or TLR2 payments to teachers as indicated in the attached staffing structure </w:t>
      </w:r>
      <w:r w:rsidR="002B1197">
        <w:t xml:space="preserve">(Appendix </w:t>
      </w:r>
      <w:r w:rsidR="00D53150">
        <w:t>4</w:t>
      </w:r>
      <w:r w:rsidR="002B1197">
        <w:t>)</w:t>
      </w:r>
      <w:r w:rsidR="00D53150">
        <w:t>, the value ranges of which are</w:t>
      </w:r>
      <w:r w:rsidR="00B6172A">
        <w:t>:</w:t>
      </w:r>
    </w:p>
    <w:tbl>
      <w:tblPr>
        <w:tblStyle w:val="TableGrid"/>
        <w:tblW w:w="0" w:type="auto"/>
        <w:tblLook w:val="04A0" w:firstRow="1" w:lastRow="0" w:firstColumn="1" w:lastColumn="0" w:noHBand="0" w:noVBand="1"/>
      </w:tblPr>
      <w:tblGrid>
        <w:gridCol w:w="1796"/>
        <w:gridCol w:w="1809"/>
        <w:gridCol w:w="1803"/>
        <w:gridCol w:w="1804"/>
        <w:gridCol w:w="1804"/>
      </w:tblGrid>
      <w:tr w:rsidR="00D71137" w:rsidRPr="00D71137" w14:paraId="607C9A05" w14:textId="77777777" w:rsidTr="00AA1FBE">
        <w:trPr>
          <w:trHeight w:val="362"/>
        </w:trPr>
        <w:tc>
          <w:tcPr>
            <w:tcW w:w="1796" w:type="dxa"/>
            <w:shd w:val="clear" w:color="auto" w:fill="BFBFBF" w:themeFill="background1" w:themeFillShade="BF"/>
          </w:tcPr>
          <w:p w14:paraId="4C9FA47E" w14:textId="77777777" w:rsidR="00D71137" w:rsidRPr="00D71137" w:rsidRDefault="00D71137" w:rsidP="00D71137">
            <w:pPr>
              <w:spacing w:after="160" w:line="259" w:lineRule="auto"/>
            </w:pPr>
          </w:p>
        </w:tc>
        <w:tc>
          <w:tcPr>
            <w:tcW w:w="1809" w:type="dxa"/>
            <w:shd w:val="clear" w:color="auto" w:fill="BFBFBF" w:themeFill="background1" w:themeFillShade="BF"/>
          </w:tcPr>
          <w:p w14:paraId="23765BD4" w14:textId="77777777" w:rsidR="00D71137" w:rsidRPr="00D71137" w:rsidRDefault="00D71137" w:rsidP="00D71137">
            <w:pPr>
              <w:spacing w:after="160" w:line="259" w:lineRule="auto"/>
            </w:pPr>
            <w:r w:rsidRPr="00D71137">
              <w:t>TLR1</w:t>
            </w:r>
          </w:p>
        </w:tc>
        <w:tc>
          <w:tcPr>
            <w:tcW w:w="1803" w:type="dxa"/>
            <w:shd w:val="clear" w:color="auto" w:fill="BFBFBF" w:themeFill="background1" w:themeFillShade="BF"/>
          </w:tcPr>
          <w:p w14:paraId="0EAD96A1" w14:textId="77777777" w:rsidR="00D71137" w:rsidRPr="00D71137" w:rsidRDefault="00D71137" w:rsidP="00D71137">
            <w:pPr>
              <w:spacing w:after="160" w:line="259" w:lineRule="auto"/>
            </w:pPr>
            <w:r w:rsidRPr="00D71137">
              <w:t>TLR2</w:t>
            </w:r>
          </w:p>
        </w:tc>
        <w:tc>
          <w:tcPr>
            <w:tcW w:w="1804" w:type="dxa"/>
            <w:shd w:val="clear" w:color="auto" w:fill="BFBFBF" w:themeFill="background1" w:themeFillShade="BF"/>
          </w:tcPr>
          <w:p w14:paraId="34786453" w14:textId="77777777" w:rsidR="00D71137" w:rsidRPr="00D71137" w:rsidRDefault="00D71137" w:rsidP="00D71137">
            <w:pPr>
              <w:spacing w:after="160" w:line="259" w:lineRule="auto"/>
            </w:pPr>
            <w:r w:rsidRPr="00D71137">
              <w:t>TLR3</w:t>
            </w:r>
          </w:p>
        </w:tc>
        <w:tc>
          <w:tcPr>
            <w:tcW w:w="1804" w:type="dxa"/>
            <w:shd w:val="clear" w:color="auto" w:fill="BFBFBF" w:themeFill="background1" w:themeFillShade="BF"/>
          </w:tcPr>
          <w:p w14:paraId="09AD82B9" w14:textId="77777777" w:rsidR="00D71137" w:rsidRPr="00D71137" w:rsidRDefault="00D71137" w:rsidP="00D71137">
            <w:pPr>
              <w:spacing w:after="160" w:line="259" w:lineRule="auto"/>
            </w:pPr>
            <w:r w:rsidRPr="00D71137">
              <w:t>SEN</w:t>
            </w:r>
          </w:p>
        </w:tc>
      </w:tr>
      <w:tr w:rsidR="00D71137" w:rsidRPr="00D71137" w14:paraId="0CC0B2C3" w14:textId="77777777" w:rsidTr="00AA1FBE">
        <w:tc>
          <w:tcPr>
            <w:tcW w:w="1796" w:type="dxa"/>
          </w:tcPr>
          <w:p w14:paraId="19D7B7C2" w14:textId="3D264E53" w:rsidR="00D71137" w:rsidRPr="00D71137" w:rsidRDefault="00D71137" w:rsidP="00D71137">
            <w:pPr>
              <w:spacing w:after="160" w:line="259" w:lineRule="auto"/>
            </w:pPr>
            <w:r w:rsidRPr="00D71137">
              <w:t>MIN</w:t>
            </w:r>
          </w:p>
        </w:tc>
        <w:tc>
          <w:tcPr>
            <w:tcW w:w="1809" w:type="dxa"/>
          </w:tcPr>
          <w:p w14:paraId="03B142C1" w14:textId="77777777" w:rsidR="00D71137" w:rsidRPr="00D71137" w:rsidRDefault="00D71137" w:rsidP="00D71137">
            <w:pPr>
              <w:spacing w:after="160" w:line="259" w:lineRule="auto"/>
            </w:pPr>
            <w:r w:rsidRPr="00D71137">
              <w:t>£8,291</w:t>
            </w:r>
          </w:p>
        </w:tc>
        <w:tc>
          <w:tcPr>
            <w:tcW w:w="1803" w:type="dxa"/>
          </w:tcPr>
          <w:p w14:paraId="425A9F35" w14:textId="77777777" w:rsidR="00D71137" w:rsidRPr="00D71137" w:rsidRDefault="00D71137" w:rsidP="00D71137">
            <w:pPr>
              <w:spacing w:after="160" w:line="259" w:lineRule="auto"/>
            </w:pPr>
            <w:r w:rsidRPr="00D71137">
              <w:t>£2,873</w:t>
            </w:r>
          </w:p>
        </w:tc>
        <w:tc>
          <w:tcPr>
            <w:tcW w:w="1804" w:type="dxa"/>
          </w:tcPr>
          <w:p w14:paraId="299A9DD4" w14:textId="77777777" w:rsidR="00D71137" w:rsidRPr="00D71137" w:rsidRDefault="00D71137" w:rsidP="00D71137">
            <w:pPr>
              <w:spacing w:after="160" w:line="259" w:lineRule="auto"/>
            </w:pPr>
            <w:r w:rsidRPr="00D71137">
              <w:t>£571</w:t>
            </w:r>
          </w:p>
        </w:tc>
        <w:tc>
          <w:tcPr>
            <w:tcW w:w="1804" w:type="dxa"/>
          </w:tcPr>
          <w:p w14:paraId="2BA5A53C" w14:textId="77777777" w:rsidR="00D71137" w:rsidRPr="00D71137" w:rsidRDefault="00D71137" w:rsidP="00D71137">
            <w:pPr>
              <w:spacing w:after="160" w:line="259" w:lineRule="auto"/>
            </w:pPr>
            <w:r w:rsidRPr="00D71137">
              <w:t>£2,270</w:t>
            </w:r>
          </w:p>
        </w:tc>
      </w:tr>
      <w:tr w:rsidR="00D71137" w:rsidRPr="00D71137" w14:paraId="20901C46" w14:textId="77777777" w:rsidTr="00AA1FBE">
        <w:tc>
          <w:tcPr>
            <w:tcW w:w="1796" w:type="dxa"/>
            <w:shd w:val="clear" w:color="auto" w:fill="BFBFBF" w:themeFill="background1" w:themeFillShade="BF"/>
          </w:tcPr>
          <w:p w14:paraId="459EA3C8" w14:textId="01978E63" w:rsidR="00D71137" w:rsidRPr="00D71137" w:rsidRDefault="00D71137" w:rsidP="00D71137">
            <w:pPr>
              <w:spacing w:after="160" w:line="259" w:lineRule="auto"/>
            </w:pPr>
            <w:r w:rsidRPr="00D71137">
              <w:t>MAX</w:t>
            </w:r>
          </w:p>
        </w:tc>
        <w:tc>
          <w:tcPr>
            <w:tcW w:w="1809" w:type="dxa"/>
            <w:shd w:val="clear" w:color="auto" w:fill="BFBFBF" w:themeFill="background1" w:themeFillShade="BF"/>
          </w:tcPr>
          <w:p w14:paraId="71FE0393" w14:textId="77777777" w:rsidR="00D71137" w:rsidRPr="00D71137" w:rsidRDefault="00D71137" w:rsidP="00D71137">
            <w:pPr>
              <w:spacing w:after="160" w:line="259" w:lineRule="auto"/>
            </w:pPr>
            <w:r w:rsidRPr="00D71137">
              <w:t>£14,030</w:t>
            </w:r>
          </w:p>
        </w:tc>
        <w:tc>
          <w:tcPr>
            <w:tcW w:w="1803" w:type="dxa"/>
            <w:shd w:val="clear" w:color="auto" w:fill="BFBFBF" w:themeFill="background1" w:themeFillShade="BF"/>
          </w:tcPr>
          <w:p w14:paraId="38DC0907" w14:textId="77777777" w:rsidR="00D71137" w:rsidRPr="00D71137" w:rsidRDefault="00D71137" w:rsidP="00D71137">
            <w:pPr>
              <w:spacing w:after="160" w:line="259" w:lineRule="auto"/>
            </w:pPr>
            <w:r w:rsidRPr="00D71137">
              <w:t>£7,017</w:t>
            </w:r>
          </w:p>
        </w:tc>
        <w:tc>
          <w:tcPr>
            <w:tcW w:w="1804" w:type="dxa"/>
            <w:shd w:val="clear" w:color="auto" w:fill="BFBFBF" w:themeFill="background1" w:themeFillShade="BF"/>
          </w:tcPr>
          <w:p w14:paraId="6C53174D" w14:textId="77777777" w:rsidR="00D71137" w:rsidRPr="00D71137" w:rsidRDefault="00D71137" w:rsidP="00D71137">
            <w:pPr>
              <w:spacing w:after="160" w:line="259" w:lineRule="auto"/>
            </w:pPr>
            <w:r w:rsidRPr="00D71137">
              <w:t>£2,833</w:t>
            </w:r>
          </w:p>
        </w:tc>
        <w:tc>
          <w:tcPr>
            <w:tcW w:w="1804" w:type="dxa"/>
            <w:shd w:val="clear" w:color="auto" w:fill="BFBFBF" w:themeFill="background1" w:themeFillShade="BF"/>
          </w:tcPr>
          <w:p w14:paraId="4AB1C2EF" w14:textId="77777777" w:rsidR="00D71137" w:rsidRPr="00D71137" w:rsidRDefault="00D71137" w:rsidP="00D71137">
            <w:pPr>
              <w:spacing w:after="160" w:line="259" w:lineRule="auto"/>
            </w:pPr>
            <w:r w:rsidRPr="00D71137">
              <w:t>£4,479</w:t>
            </w:r>
          </w:p>
        </w:tc>
      </w:tr>
    </w:tbl>
    <w:p w14:paraId="0CEEA4CA" w14:textId="77777777" w:rsidR="00AA1FBE" w:rsidRDefault="00AA1FBE" w:rsidP="00AA1FBE">
      <w:pPr>
        <w:pStyle w:val="Default"/>
        <w:jc w:val="both"/>
        <w:rPr>
          <w:rFonts w:asciiTheme="minorHAnsi" w:hAnsiTheme="minorHAnsi" w:cstheme="minorHAnsi"/>
          <w:b/>
          <w:bCs/>
          <w:color w:val="FFFFFF" w:themeColor="background1"/>
          <w:sz w:val="22"/>
          <w:szCs w:val="22"/>
          <w:highlight w:val="black"/>
        </w:rPr>
      </w:pPr>
    </w:p>
    <w:p w14:paraId="666C5E1D" w14:textId="43057AD9" w:rsidR="00AA1FBE" w:rsidRPr="002B1197" w:rsidRDefault="00AA1FBE" w:rsidP="00AA1FBE">
      <w:pPr>
        <w:pStyle w:val="Default"/>
        <w:jc w:val="both"/>
        <w:rPr>
          <w:rFonts w:asciiTheme="minorHAnsi" w:hAnsiTheme="minorHAnsi" w:cstheme="minorHAnsi"/>
          <w:b/>
          <w:bCs/>
          <w:color w:val="auto"/>
          <w:sz w:val="22"/>
          <w:szCs w:val="22"/>
        </w:rPr>
      </w:pPr>
      <w:r w:rsidRPr="002B1197">
        <w:rPr>
          <w:rFonts w:asciiTheme="minorHAnsi" w:hAnsiTheme="minorHAnsi" w:cstheme="minorHAnsi"/>
          <w:b/>
          <w:bCs/>
          <w:color w:val="FFFFFF" w:themeColor="background1"/>
          <w:sz w:val="22"/>
          <w:szCs w:val="22"/>
          <w:highlight w:val="black"/>
        </w:rPr>
        <w:t>OR FOR PRIMARY SCHOOLS:</w:t>
      </w:r>
      <w:r w:rsidR="00B6172A">
        <w:rPr>
          <w:rFonts w:asciiTheme="minorHAnsi" w:hAnsiTheme="minorHAnsi" w:cstheme="minorHAnsi"/>
          <w:b/>
          <w:bCs/>
          <w:color w:val="FFFFFF" w:themeColor="background1"/>
          <w:sz w:val="22"/>
          <w:szCs w:val="22"/>
        </w:rPr>
        <w:t xml:space="preserve"> </w:t>
      </w:r>
      <w:r w:rsidRPr="002B1197">
        <w:rPr>
          <w:rFonts w:asciiTheme="minorHAnsi" w:hAnsiTheme="minorHAnsi" w:cstheme="minorHAnsi"/>
          <w:bCs/>
          <w:color w:val="auto"/>
          <w:sz w:val="22"/>
          <w:szCs w:val="22"/>
        </w:rPr>
        <w:t xml:space="preserve">No TLR1s may be paid by the </w:t>
      </w:r>
      <w:proofErr w:type="gramStart"/>
      <w:r w:rsidRPr="002B1197">
        <w:rPr>
          <w:rFonts w:asciiTheme="minorHAnsi" w:hAnsiTheme="minorHAnsi" w:cstheme="minorHAnsi"/>
          <w:bCs/>
          <w:color w:val="auto"/>
          <w:sz w:val="22"/>
          <w:szCs w:val="22"/>
        </w:rPr>
        <w:t>School</w:t>
      </w:r>
      <w:proofErr w:type="gramEnd"/>
      <w:r w:rsidRPr="002B1197">
        <w:rPr>
          <w:rFonts w:asciiTheme="minorHAnsi" w:hAnsiTheme="minorHAnsi" w:cstheme="minorHAnsi"/>
          <w:bCs/>
          <w:color w:val="auto"/>
          <w:sz w:val="22"/>
          <w:szCs w:val="22"/>
        </w:rPr>
        <w:t>.</w:t>
      </w:r>
    </w:p>
    <w:p w14:paraId="6E1CCDB0" w14:textId="102BC1A5" w:rsidR="002B1197" w:rsidRDefault="002B1197" w:rsidP="00811368"/>
    <w:p w14:paraId="0572F445" w14:textId="3A1BA1FD" w:rsidR="00AA1FBE" w:rsidRPr="002B1197" w:rsidRDefault="00AA1FBE" w:rsidP="00AA1FBE">
      <w:pPr>
        <w:pStyle w:val="Alphabet2"/>
        <w:numPr>
          <w:ilvl w:val="0"/>
          <w:numId w:val="0"/>
        </w:numPr>
        <w:spacing w:after="0"/>
        <w:jc w:val="both"/>
        <w:rPr>
          <w:rFonts w:asciiTheme="minorHAnsi" w:hAnsiTheme="minorHAnsi" w:cstheme="minorHAnsi"/>
          <w:bCs/>
          <w:sz w:val="22"/>
        </w:rPr>
      </w:pPr>
      <w:r w:rsidRPr="002B1197">
        <w:rPr>
          <w:rFonts w:asciiTheme="minorHAnsi" w:hAnsiTheme="minorHAnsi" w:cstheme="minorHAnsi"/>
          <w:bCs/>
          <w:sz w:val="22"/>
        </w:rPr>
        <w:t xml:space="preserve">The values for TLR 2 (which must fall between the minimum and maximum set out </w:t>
      </w:r>
      <w:r>
        <w:rPr>
          <w:rFonts w:asciiTheme="minorHAnsi" w:hAnsiTheme="minorHAnsi" w:cstheme="minorHAnsi"/>
          <w:bCs/>
          <w:sz w:val="22"/>
        </w:rPr>
        <w:t>above</w:t>
      </w:r>
      <w:r w:rsidRPr="002B1197">
        <w:rPr>
          <w:rFonts w:asciiTheme="minorHAnsi" w:hAnsiTheme="minorHAnsi" w:cstheme="minorHAnsi"/>
          <w:bCs/>
          <w:sz w:val="22"/>
        </w:rPr>
        <w:t>) are as follows:</w:t>
      </w:r>
      <w:r>
        <w:rPr>
          <w:rFonts w:asciiTheme="minorHAnsi" w:hAnsiTheme="minorHAnsi" w:cstheme="minorHAnsi"/>
          <w:bCs/>
          <w:sz w:val="22"/>
        </w:rPr>
        <w:t xml:space="preserve"> [INSERT]</w:t>
      </w:r>
    </w:p>
    <w:p w14:paraId="79B08F36" w14:textId="77777777" w:rsidR="00AA1FBE" w:rsidRDefault="00AA1FBE" w:rsidP="00811368"/>
    <w:p w14:paraId="771083BE" w14:textId="77777777" w:rsidR="002B1197" w:rsidRPr="002B1197" w:rsidRDefault="002B1197" w:rsidP="00D53150">
      <w:pPr>
        <w:pStyle w:val="Alphabet2"/>
        <w:numPr>
          <w:ilvl w:val="0"/>
          <w:numId w:val="0"/>
        </w:numPr>
        <w:spacing w:after="0"/>
        <w:jc w:val="both"/>
        <w:rPr>
          <w:rFonts w:asciiTheme="minorHAnsi" w:hAnsiTheme="minorHAnsi" w:cstheme="minorHAnsi"/>
          <w:bCs/>
          <w:sz w:val="22"/>
        </w:rPr>
      </w:pPr>
      <w:r w:rsidRPr="002B1197">
        <w:rPr>
          <w:rFonts w:asciiTheme="minorHAnsi" w:hAnsiTheme="minorHAnsi" w:cstheme="minorHAnsi"/>
          <w:bCs/>
          <w:sz w:val="22"/>
        </w:rPr>
        <w:lastRenderedPageBreak/>
        <w:t>TLR 1 and 2 payments are allowed only for posts of significant responsibility which:</w:t>
      </w:r>
    </w:p>
    <w:p w14:paraId="4F9AFA0C" w14:textId="77777777" w:rsidR="002B1197" w:rsidRPr="002B1197" w:rsidRDefault="002B1197" w:rsidP="002B1197">
      <w:pPr>
        <w:pStyle w:val="Default"/>
        <w:ind w:left="720" w:hanging="720"/>
        <w:jc w:val="both"/>
        <w:rPr>
          <w:rFonts w:asciiTheme="minorHAnsi" w:hAnsiTheme="minorHAnsi" w:cstheme="minorHAnsi"/>
          <w:bCs/>
          <w:color w:val="auto"/>
          <w:sz w:val="22"/>
          <w:szCs w:val="22"/>
        </w:rPr>
      </w:pPr>
    </w:p>
    <w:p w14:paraId="3FC6DF1A" w14:textId="77777777" w:rsidR="00D53150" w:rsidRDefault="002B1197" w:rsidP="00D53150">
      <w:pPr>
        <w:pStyle w:val="Default"/>
        <w:numPr>
          <w:ilvl w:val="0"/>
          <w:numId w:val="10"/>
        </w:numPr>
        <w:jc w:val="both"/>
        <w:rPr>
          <w:rFonts w:asciiTheme="minorHAnsi" w:hAnsiTheme="minorHAnsi" w:cstheme="minorHAnsi"/>
          <w:color w:val="auto"/>
          <w:sz w:val="22"/>
          <w:szCs w:val="22"/>
        </w:rPr>
      </w:pPr>
      <w:r w:rsidRPr="002B1197">
        <w:rPr>
          <w:rFonts w:asciiTheme="minorHAnsi" w:hAnsiTheme="minorHAnsi" w:cstheme="minorHAnsi"/>
          <w:color w:val="auto"/>
          <w:sz w:val="22"/>
          <w:szCs w:val="22"/>
        </w:rPr>
        <w:t xml:space="preserve">are focused on teaching and </w:t>
      </w:r>
      <w:proofErr w:type="gramStart"/>
      <w:r w:rsidRPr="002B1197">
        <w:rPr>
          <w:rFonts w:asciiTheme="minorHAnsi" w:hAnsiTheme="minorHAnsi" w:cstheme="minorHAnsi"/>
          <w:color w:val="auto"/>
          <w:sz w:val="22"/>
          <w:szCs w:val="22"/>
        </w:rPr>
        <w:t>learning;</w:t>
      </w:r>
      <w:proofErr w:type="gramEnd"/>
    </w:p>
    <w:p w14:paraId="343251FA" w14:textId="77777777" w:rsidR="00D53150" w:rsidRDefault="002B1197" w:rsidP="00D53150">
      <w:pPr>
        <w:pStyle w:val="Default"/>
        <w:numPr>
          <w:ilvl w:val="0"/>
          <w:numId w:val="10"/>
        </w:numPr>
        <w:jc w:val="both"/>
        <w:rPr>
          <w:rFonts w:asciiTheme="minorHAnsi" w:hAnsiTheme="minorHAnsi" w:cstheme="minorHAnsi"/>
          <w:color w:val="auto"/>
          <w:sz w:val="22"/>
          <w:szCs w:val="22"/>
        </w:rPr>
      </w:pPr>
      <w:r w:rsidRPr="002B1197">
        <w:rPr>
          <w:rFonts w:asciiTheme="minorHAnsi" w:hAnsiTheme="minorHAnsi" w:cstheme="minorHAnsi"/>
          <w:color w:val="auto"/>
          <w:sz w:val="22"/>
          <w:szCs w:val="22"/>
        </w:rPr>
        <w:t xml:space="preserve">require exercise of professional skills and </w:t>
      </w:r>
      <w:proofErr w:type="gramStart"/>
      <w:r w:rsidRPr="002B1197">
        <w:rPr>
          <w:rFonts w:asciiTheme="minorHAnsi" w:hAnsiTheme="minorHAnsi" w:cstheme="minorHAnsi"/>
          <w:color w:val="auto"/>
          <w:sz w:val="22"/>
          <w:szCs w:val="22"/>
        </w:rPr>
        <w:t>judgement;</w:t>
      </w:r>
      <w:proofErr w:type="gramEnd"/>
    </w:p>
    <w:p w14:paraId="01BECF0C" w14:textId="77777777" w:rsidR="00D53150" w:rsidRDefault="002B1197" w:rsidP="00D53150">
      <w:pPr>
        <w:pStyle w:val="Default"/>
        <w:numPr>
          <w:ilvl w:val="0"/>
          <w:numId w:val="10"/>
        </w:numPr>
        <w:jc w:val="both"/>
        <w:rPr>
          <w:rFonts w:asciiTheme="minorHAnsi" w:hAnsiTheme="minorHAnsi" w:cstheme="minorHAnsi"/>
          <w:color w:val="auto"/>
          <w:sz w:val="22"/>
          <w:szCs w:val="22"/>
        </w:rPr>
      </w:pPr>
      <w:r w:rsidRPr="002B1197">
        <w:rPr>
          <w:rFonts w:asciiTheme="minorHAnsi" w:hAnsiTheme="minorHAnsi" w:cstheme="minorHAnsi"/>
          <w:color w:val="auto"/>
          <w:sz w:val="22"/>
          <w:szCs w:val="22"/>
        </w:rPr>
        <w:t xml:space="preserve">require leading managing or developing a subject or curriculum area or pupil development across the </w:t>
      </w:r>
      <w:proofErr w:type="gramStart"/>
      <w:r w:rsidRPr="002B1197">
        <w:rPr>
          <w:rFonts w:asciiTheme="minorHAnsi" w:hAnsiTheme="minorHAnsi" w:cstheme="minorHAnsi"/>
          <w:color w:val="auto"/>
          <w:sz w:val="22"/>
          <w:szCs w:val="22"/>
        </w:rPr>
        <w:t>curriculum;</w:t>
      </w:r>
      <w:proofErr w:type="gramEnd"/>
      <w:r w:rsidRPr="002B1197">
        <w:rPr>
          <w:rFonts w:asciiTheme="minorHAnsi" w:hAnsiTheme="minorHAnsi" w:cstheme="minorHAnsi"/>
          <w:color w:val="auto"/>
          <w:sz w:val="22"/>
          <w:szCs w:val="22"/>
        </w:rPr>
        <w:t xml:space="preserve"> </w:t>
      </w:r>
    </w:p>
    <w:p w14:paraId="53A216F3" w14:textId="7C244700" w:rsidR="002B1197" w:rsidRPr="00D53150" w:rsidRDefault="002B1197" w:rsidP="00D53150">
      <w:pPr>
        <w:pStyle w:val="Default"/>
        <w:numPr>
          <w:ilvl w:val="0"/>
          <w:numId w:val="10"/>
        </w:numPr>
        <w:jc w:val="both"/>
        <w:rPr>
          <w:rFonts w:asciiTheme="minorHAnsi" w:hAnsiTheme="minorHAnsi" w:cstheme="minorHAnsi"/>
          <w:color w:val="auto"/>
          <w:sz w:val="22"/>
          <w:szCs w:val="22"/>
        </w:rPr>
      </w:pPr>
      <w:r w:rsidRPr="002B1197">
        <w:rPr>
          <w:rFonts w:asciiTheme="minorHAnsi" w:hAnsiTheme="minorHAnsi" w:cstheme="minorHAnsi"/>
          <w:color w:val="auto"/>
          <w:sz w:val="22"/>
          <w:szCs w:val="22"/>
        </w:rPr>
        <w:t>and</w:t>
      </w:r>
      <w:r w:rsidR="00D53150">
        <w:rPr>
          <w:rFonts w:asciiTheme="minorHAnsi" w:hAnsiTheme="minorHAnsi" w:cstheme="minorHAnsi"/>
          <w:color w:val="auto"/>
          <w:sz w:val="22"/>
          <w:szCs w:val="22"/>
        </w:rPr>
        <w:t xml:space="preserve"> </w:t>
      </w:r>
      <w:r w:rsidRPr="00D53150">
        <w:rPr>
          <w:rFonts w:asciiTheme="minorHAnsi" w:hAnsiTheme="minorHAnsi" w:cstheme="minorHAnsi"/>
          <w:color w:val="auto"/>
          <w:sz w:val="22"/>
          <w:szCs w:val="22"/>
        </w:rPr>
        <w:t xml:space="preserve">have an impact on the educational progress of pupils other than the teacher’s own class involves leading developing and enhancing the teaching practice of other staff. </w:t>
      </w:r>
    </w:p>
    <w:p w14:paraId="0C575710" w14:textId="77777777" w:rsidR="002B1197" w:rsidRPr="002B1197" w:rsidRDefault="002B1197" w:rsidP="002B1197">
      <w:pPr>
        <w:pStyle w:val="Default"/>
        <w:ind w:left="720"/>
        <w:jc w:val="both"/>
        <w:rPr>
          <w:rFonts w:asciiTheme="minorHAnsi" w:hAnsiTheme="minorHAnsi" w:cstheme="minorHAnsi"/>
          <w:bCs/>
          <w:color w:val="auto"/>
          <w:sz w:val="22"/>
          <w:szCs w:val="22"/>
        </w:rPr>
      </w:pPr>
    </w:p>
    <w:p w14:paraId="0DB3B677" w14:textId="77777777" w:rsidR="002B1197" w:rsidRPr="002B1197" w:rsidRDefault="002B1197" w:rsidP="00D53150">
      <w:pPr>
        <w:pStyle w:val="Alphabet2"/>
        <w:numPr>
          <w:ilvl w:val="0"/>
          <w:numId w:val="0"/>
        </w:numPr>
        <w:spacing w:after="0"/>
        <w:jc w:val="both"/>
        <w:rPr>
          <w:rFonts w:asciiTheme="minorHAnsi" w:hAnsiTheme="minorHAnsi" w:cstheme="minorHAnsi"/>
          <w:bCs/>
          <w:sz w:val="22"/>
        </w:rPr>
      </w:pPr>
      <w:r w:rsidRPr="002B1197">
        <w:rPr>
          <w:rFonts w:asciiTheme="minorHAnsi" w:hAnsiTheme="minorHAnsi" w:cstheme="minorHAnsi"/>
          <w:bCs/>
          <w:sz w:val="22"/>
        </w:rPr>
        <w:t>A TLR 1 post must also involve management responsibility for a significant number of people.</w:t>
      </w:r>
    </w:p>
    <w:p w14:paraId="426BA8CE" w14:textId="77777777" w:rsidR="002B1197" w:rsidRPr="002B1197" w:rsidRDefault="002B1197" w:rsidP="002B1197">
      <w:pPr>
        <w:pStyle w:val="Default"/>
        <w:ind w:left="720" w:hanging="720"/>
        <w:jc w:val="both"/>
        <w:rPr>
          <w:rFonts w:asciiTheme="minorHAnsi" w:hAnsiTheme="minorHAnsi" w:cstheme="minorHAnsi"/>
          <w:bCs/>
          <w:color w:val="auto"/>
          <w:sz w:val="22"/>
          <w:szCs w:val="22"/>
        </w:rPr>
      </w:pPr>
    </w:p>
    <w:p w14:paraId="7C0CAACF" w14:textId="6D76D14F" w:rsidR="002B1197" w:rsidRPr="002B1197" w:rsidRDefault="002B1197" w:rsidP="00AA1FBE">
      <w:pPr>
        <w:pStyle w:val="Alphabet2"/>
        <w:numPr>
          <w:ilvl w:val="0"/>
          <w:numId w:val="0"/>
        </w:numPr>
        <w:spacing w:after="0"/>
        <w:jc w:val="both"/>
        <w:rPr>
          <w:rFonts w:asciiTheme="minorHAnsi" w:hAnsiTheme="minorHAnsi" w:cstheme="minorHAnsi"/>
          <w:bCs/>
          <w:sz w:val="22"/>
        </w:rPr>
      </w:pPr>
      <w:r w:rsidRPr="002B1197">
        <w:rPr>
          <w:rFonts w:asciiTheme="minorHAnsi" w:hAnsiTheme="minorHAnsi" w:cstheme="minorHAnsi"/>
          <w:bCs/>
          <w:sz w:val="22"/>
        </w:rPr>
        <w:t>Teachers will not be expected to undertake such additional responsibilities without payment of a permanent TLR 1 or TLR 2.</w:t>
      </w:r>
      <w:r w:rsidR="00AA1FBE">
        <w:rPr>
          <w:rFonts w:asciiTheme="minorHAnsi" w:hAnsiTheme="minorHAnsi" w:cstheme="minorHAnsi"/>
          <w:bCs/>
          <w:sz w:val="22"/>
        </w:rPr>
        <w:t xml:space="preserve">  </w:t>
      </w:r>
      <w:r w:rsidRPr="002B1197">
        <w:rPr>
          <w:rFonts w:asciiTheme="minorHAnsi" w:hAnsiTheme="minorHAnsi" w:cstheme="minorHAnsi"/>
          <w:bCs/>
          <w:sz w:val="22"/>
        </w:rPr>
        <w:t xml:space="preserve">TLR1 and 2s may only be awarded on a temporary basis to a teacher occupying the post temporarily for secondments, maternity cover, sick </w:t>
      </w:r>
      <w:proofErr w:type="gramStart"/>
      <w:r w:rsidRPr="002B1197">
        <w:rPr>
          <w:rFonts w:asciiTheme="minorHAnsi" w:hAnsiTheme="minorHAnsi" w:cstheme="minorHAnsi"/>
          <w:bCs/>
          <w:sz w:val="22"/>
        </w:rPr>
        <w:t>leave</w:t>
      </w:r>
      <w:proofErr w:type="gramEnd"/>
      <w:r w:rsidRPr="002B1197">
        <w:rPr>
          <w:rFonts w:asciiTheme="minorHAnsi" w:hAnsiTheme="minorHAnsi" w:cstheme="minorHAnsi"/>
          <w:bCs/>
          <w:sz w:val="22"/>
        </w:rPr>
        <w:t xml:space="preserve"> or vacancies pending permanent appointment. The teacher must be notified at the start of a temporary TLR1 and 2 of either the date or circumstances in which the temporary TLR 1 or 2 will end.</w:t>
      </w:r>
    </w:p>
    <w:p w14:paraId="0D01C9CD" w14:textId="77777777" w:rsidR="002B1197" w:rsidRPr="00AA1FBE" w:rsidRDefault="002B1197" w:rsidP="002B1197">
      <w:pPr>
        <w:pStyle w:val="Default"/>
        <w:ind w:left="720" w:hanging="720"/>
        <w:jc w:val="both"/>
        <w:rPr>
          <w:rFonts w:asciiTheme="minorHAnsi" w:hAnsiTheme="minorHAnsi" w:cstheme="minorHAnsi"/>
          <w:bCs/>
          <w:color w:val="auto"/>
          <w:sz w:val="22"/>
          <w:szCs w:val="22"/>
        </w:rPr>
      </w:pPr>
    </w:p>
    <w:p w14:paraId="18A78807" w14:textId="77777777" w:rsidR="002B1197" w:rsidRPr="00AA1FBE" w:rsidRDefault="002B1197" w:rsidP="00AA1FBE">
      <w:pPr>
        <w:pStyle w:val="Alphabet2"/>
        <w:numPr>
          <w:ilvl w:val="0"/>
          <w:numId w:val="0"/>
        </w:numPr>
        <w:spacing w:after="0"/>
        <w:jc w:val="both"/>
        <w:rPr>
          <w:rFonts w:asciiTheme="minorHAnsi" w:hAnsiTheme="minorHAnsi" w:cstheme="minorHAnsi"/>
          <w:bCs/>
          <w:sz w:val="22"/>
        </w:rPr>
      </w:pPr>
      <w:r w:rsidRPr="00AA1FBE">
        <w:rPr>
          <w:rFonts w:asciiTheme="minorHAnsi" w:hAnsiTheme="minorHAnsi" w:cstheme="minorHAnsi"/>
          <w:bCs/>
          <w:sz w:val="22"/>
        </w:rPr>
        <w:t>The STPCD 2014 removed the requirement for a gap of £1,500 between each TLR point.  We have decided to retain that gap so that there are clear distinctions between roles.</w:t>
      </w:r>
    </w:p>
    <w:p w14:paraId="6E1A441D" w14:textId="77777777" w:rsidR="002B1197" w:rsidRPr="00AA1FBE" w:rsidRDefault="002B1197" w:rsidP="002B1197">
      <w:pPr>
        <w:pStyle w:val="Default"/>
        <w:ind w:left="720" w:hanging="720"/>
        <w:jc w:val="both"/>
        <w:rPr>
          <w:rFonts w:asciiTheme="minorHAnsi" w:hAnsiTheme="minorHAnsi" w:cstheme="minorHAnsi"/>
          <w:bCs/>
          <w:color w:val="auto"/>
          <w:sz w:val="22"/>
          <w:szCs w:val="22"/>
        </w:rPr>
      </w:pPr>
    </w:p>
    <w:p w14:paraId="3025A574" w14:textId="77777777" w:rsidR="002B1197" w:rsidRPr="00AA1FBE" w:rsidRDefault="002B1197" w:rsidP="00AA1FBE">
      <w:pPr>
        <w:pStyle w:val="Alphabet2"/>
        <w:numPr>
          <w:ilvl w:val="0"/>
          <w:numId w:val="0"/>
        </w:numPr>
        <w:spacing w:after="0"/>
        <w:jc w:val="both"/>
        <w:rPr>
          <w:rFonts w:asciiTheme="minorHAnsi" w:hAnsiTheme="minorHAnsi" w:cstheme="minorHAnsi"/>
          <w:bCs/>
          <w:sz w:val="22"/>
        </w:rPr>
      </w:pPr>
      <w:r w:rsidRPr="00AA1FBE">
        <w:rPr>
          <w:rFonts w:asciiTheme="minorHAnsi" w:hAnsiTheme="minorHAnsi" w:cstheme="minorHAnsi"/>
          <w:bCs/>
          <w:sz w:val="22"/>
        </w:rPr>
        <w:t>TLR1 and TLR2s may only be created as part of the staffing structure by Governing Body.</w:t>
      </w:r>
    </w:p>
    <w:p w14:paraId="7834FED3" w14:textId="77777777" w:rsidR="00AA1FBE" w:rsidRPr="00AA1FBE" w:rsidRDefault="00AA1FBE" w:rsidP="00AA1FBE">
      <w:pPr>
        <w:pStyle w:val="Alphabet2"/>
        <w:numPr>
          <w:ilvl w:val="0"/>
          <w:numId w:val="0"/>
        </w:numPr>
        <w:spacing w:after="0"/>
        <w:jc w:val="both"/>
        <w:rPr>
          <w:rFonts w:asciiTheme="minorHAnsi" w:hAnsiTheme="minorHAnsi" w:cstheme="minorHAnsi"/>
          <w:bCs/>
          <w:sz w:val="22"/>
        </w:rPr>
      </w:pPr>
    </w:p>
    <w:p w14:paraId="244CB67F" w14:textId="230BBB62" w:rsidR="002B1197" w:rsidRPr="002B1197" w:rsidRDefault="00AA1FBE" w:rsidP="00AA1FBE">
      <w:pPr>
        <w:pStyle w:val="Alphabet2"/>
        <w:numPr>
          <w:ilvl w:val="0"/>
          <w:numId w:val="0"/>
        </w:numPr>
        <w:spacing w:after="0"/>
        <w:jc w:val="both"/>
        <w:rPr>
          <w:rFonts w:asciiTheme="minorHAnsi" w:eastAsia="Times New Roman" w:hAnsiTheme="minorHAnsi" w:cstheme="minorHAnsi"/>
          <w:sz w:val="22"/>
        </w:rPr>
      </w:pPr>
      <w:r w:rsidRPr="00AA1FBE">
        <w:rPr>
          <w:rFonts w:asciiTheme="minorHAnsi" w:hAnsiTheme="minorHAnsi" w:cstheme="minorHAnsi"/>
          <w:bCs/>
          <w:sz w:val="22"/>
        </w:rPr>
        <w:t xml:space="preserve">The </w:t>
      </w:r>
      <w:proofErr w:type="gramStart"/>
      <w:r w:rsidRPr="00AA1FBE">
        <w:rPr>
          <w:rFonts w:asciiTheme="minorHAnsi" w:hAnsiTheme="minorHAnsi" w:cstheme="minorHAnsi"/>
          <w:bCs/>
          <w:sz w:val="22"/>
        </w:rPr>
        <w:t>School</w:t>
      </w:r>
      <w:proofErr w:type="gramEnd"/>
      <w:r w:rsidR="002B1197" w:rsidRPr="00AA1FBE">
        <w:rPr>
          <w:rFonts w:asciiTheme="minorHAnsi" w:hAnsiTheme="minorHAnsi" w:cstheme="minorHAnsi"/>
          <w:bCs/>
          <w:sz w:val="22"/>
        </w:rPr>
        <w:t xml:space="preserve"> may make use of TLR3 which must fall between the minimum and maximum set out in Appendix 1 per annum to </w:t>
      </w:r>
      <w:r w:rsidR="002B1197" w:rsidRPr="002B1197">
        <w:rPr>
          <w:rFonts w:asciiTheme="minorHAnsi" w:hAnsiTheme="minorHAnsi" w:cstheme="minorHAnsi"/>
          <w:bCs/>
          <w:sz w:val="22"/>
        </w:rPr>
        <w:t>classroom teachers</w:t>
      </w:r>
      <w:r w:rsidR="00B6172A">
        <w:rPr>
          <w:rFonts w:asciiTheme="minorHAnsi" w:hAnsiTheme="minorHAnsi" w:cstheme="minorHAnsi"/>
          <w:bCs/>
          <w:sz w:val="22"/>
        </w:rPr>
        <w:t>;</w:t>
      </w:r>
      <w:r w:rsidR="002B1197" w:rsidRPr="002B1197">
        <w:rPr>
          <w:rFonts w:asciiTheme="minorHAnsi" w:hAnsiTheme="minorHAnsi" w:cstheme="minorHAnsi"/>
          <w:bCs/>
          <w:sz w:val="22"/>
        </w:rPr>
        <w:t xml:space="preserve"> </w:t>
      </w:r>
      <w:r w:rsidR="002B1197" w:rsidRPr="002B1197">
        <w:rPr>
          <w:rFonts w:asciiTheme="minorHAnsi" w:eastAsia="Times New Roman" w:hAnsiTheme="minorHAnsi" w:cstheme="minorHAnsi"/>
          <w:sz w:val="22"/>
        </w:rPr>
        <w:t>a classroom teacher for clearly time-limited school improvement projects</w:t>
      </w:r>
      <w:r w:rsidR="00B6172A">
        <w:rPr>
          <w:rFonts w:asciiTheme="minorHAnsi" w:eastAsia="Times New Roman" w:hAnsiTheme="minorHAnsi" w:cstheme="minorHAnsi"/>
          <w:sz w:val="22"/>
        </w:rPr>
        <w:t>;</w:t>
      </w:r>
      <w:r w:rsidR="002B1197" w:rsidRPr="002B1197">
        <w:rPr>
          <w:rFonts w:asciiTheme="minorHAnsi" w:eastAsia="Times New Roman" w:hAnsiTheme="minorHAnsi" w:cstheme="minorHAnsi"/>
          <w:sz w:val="22"/>
        </w:rPr>
        <w:t xml:space="preserve"> or</w:t>
      </w:r>
      <w:r w:rsidR="00ED2EA3">
        <w:rPr>
          <w:rFonts w:asciiTheme="minorHAnsi" w:eastAsia="Times New Roman" w:hAnsiTheme="minorHAnsi" w:cstheme="minorHAnsi"/>
          <w:sz w:val="22"/>
        </w:rPr>
        <w:t xml:space="preserve"> a classroom teacher with</w:t>
      </w:r>
      <w:r w:rsidR="002B1197" w:rsidRPr="002B1197">
        <w:rPr>
          <w:rFonts w:asciiTheme="minorHAnsi" w:eastAsia="Times New Roman" w:hAnsiTheme="minorHAnsi" w:cstheme="minorHAnsi"/>
          <w:sz w:val="22"/>
        </w:rPr>
        <w:t xml:space="preserve"> one off externally driven responsibilities. The duration of the fixed term must be established at the outset and payment should be made </w:t>
      </w:r>
      <w:proofErr w:type="gramStart"/>
      <w:r w:rsidR="002B1197" w:rsidRPr="002B1197">
        <w:rPr>
          <w:rFonts w:asciiTheme="minorHAnsi" w:eastAsia="Times New Roman" w:hAnsiTheme="minorHAnsi" w:cstheme="minorHAnsi"/>
          <w:sz w:val="22"/>
        </w:rPr>
        <w:t>on a monthly basis</w:t>
      </w:r>
      <w:proofErr w:type="gramEnd"/>
      <w:r w:rsidR="002B1197" w:rsidRPr="002B1197">
        <w:rPr>
          <w:rFonts w:asciiTheme="minorHAnsi" w:eastAsia="Times New Roman" w:hAnsiTheme="minorHAnsi" w:cstheme="minorHAnsi"/>
          <w:sz w:val="22"/>
        </w:rPr>
        <w:t xml:space="preserve"> for the duration of the fixed term. </w:t>
      </w:r>
      <w:r w:rsidR="002B1197" w:rsidRPr="002B1197">
        <w:rPr>
          <w:rFonts w:asciiTheme="minorHAnsi" w:hAnsiTheme="minorHAnsi" w:cstheme="minorHAnsi"/>
          <w:bCs/>
          <w:sz w:val="22"/>
        </w:rPr>
        <w:t>Each such TLR3 must be advertised internally and requires prior approval of the Governing Body. A TLR3 is not subject to salary safeguarding.</w:t>
      </w:r>
    </w:p>
    <w:p w14:paraId="2E01F2CA" w14:textId="77777777" w:rsidR="002B1197" w:rsidRPr="002B1197" w:rsidRDefault="002B1197" w:rsidP="00AA1FBE">
      <w:pPr>
        <w:pStyle w:val="Default"/>
        <w:jc w:val="both"/>
        <w:rPr>
          <w:rFonts w:asciiTheme="minorHAnsi" w:hAnsiTheme="minorHAnsi" w:cstheme="minorHAnsi"/>
          <w:bCs/>
          <w:color w:val="auto"/>
          <w:sz w:val="22"/>
          <w:szCs w:val="22"/>
        </w:rPr>
      </w:pPr>
    </w:p>
    <w:p w14:paraId="1BCC0242" w14:textId="77777777" w:rsidR="002B1197" w:rsidRPr="002B1197" w:rsidRDefault="002B1197" w:rsidP="00AA1FBE">
      <w:pPr>
        <w:pStyle w:val="Alphabet2"/>
        <w:numPr>
          <w:ilvl w:val="0"/>
          <w:numId w:val="0"/>
        </w:numPr>
        <w:spacing w:after="0"/>
        <w:jc w:val="both"/>
        <w:rPr>
          <w:rFonts w:asciiTheme="minorHAnsi" w:hAnsiTheme="minorHAnsi" w:cstheme="minorHAnsi"/>
          <w:bCs/>
          <w:sz w:val="22"/>
        </w:rPr>
      </w:pPr>
      <w:r w:rsidRPr="002B1197">
        <w:rPr>
          <w:rFonts w:asciiTheme="minorHAnsi" w:hAnsiTheme="minorHAnsi" w:cstheme="minorHAnsi"/>
          <w:bCs/>
          <w:sz w:val="22"/>
        </w:rPr>
        <w:t>No TLR is payable to a member of the Leadership Pay Range or the Leading Practitioner Pay Range.</w:t>
      </w:r>
    </w:p>
    <w:p w14:paraId="7C7F4D67" w14:textId="77777777" w:rsidR="002B1197" w:rsidRPr="002B1197" w:rsidRDefault="002B1197" w:rsidP="00AA1FBE">
      <w:pPr>
        <w:pStyle w:val="Default"/>
        <w:jc w:val="both"/>
        <w:rPr>
          <w:rFonts w:asciiTheme="minorHAnsi" w:hAnsiTheme="minorHAnsi" w:cstheme="minorHAnsi"/>
          <w:bCs/>
          <w:color w:val="auto"/>
          <w:sz w:val="22"/>
          <w:szCs w:val="22"/>
        </w:rPr>
      </w:pPr>
    </w:p>
    <w:p w14:paraId="3AC967CC" w14:textId="77777777" w:rsidR="002B1197" w:rsidRPr="002B1197" w:rsidRDefault="002B1197" w:rsidP="00AA1FBE">
      <w:pPr>
        <w:pStyle w:val="Alphabet2"/>
        <w:numPr>
          <w:ilvl w:val="0"/>
          <w:numId w:val="0"/>
        </w:numPr>
        <w:spacing w:after="0"/>
        <w:jc w:val="both"/>
        <w:rPr>
          <w:rFonts w:asciiTheme="minorHAnsi" w:hAnsiTheme="minorHAnsi" w:cstheme="minorHAnsi"/>
          <w:bCs/>
          <w:sz w:val="22"/>
        </w:rPr>
      </w:pPr>
      <w:r w:rsidRPr="002B1197">
        <w:rPr>
          <w:rFonts w:asciiTheme="minorHAnsi" w:hAnsiTheme="minorHAnsi" w:cstheme="minorHAnsi"/>
          <w:bCs/>
          <w:sz w:val="22"/>
        </w:rPr>
        <w:t>All TLR payments are pensionable under the Teachers’ Pension Scheme.</w:t>
      </w:r>
    </w:p>
    <w:p w14:paraId="5B9FCEDB" w14:textId="77777777" w:rsidR="002B1197" w:rsidRPr="00AA1FBE" w:rsidRDefault="002B1197" w:rsidP="002B1197">
      <w:pPr>
        <w:pStyle w:val="Default"/>
        <w:ind w:left="720" w:hanging="720"/>
        <w:jc w:val="both"/>
        <w:rPr>
          <w:rFonts w:asciiTheme="minorHAnsi" w:hAnsiTheme="minorHAnsi" w:cstheme="minorHAnsi"/>
          <w:i/>
          <w:iCs/>
          <w:color w:val="auto"/>
          <w:sz w:val="22"/>
          <w:szCs w:val="22"/>
        </w:rPr>
      </w:pPr>
    </w:p>
    <w:p w14:paraId="6B44D8A4" w14:textId="6CDC97F6" w:rsidR="002B1197" w:rsidRPr="00AA1FBE" w:rsidRDefault="00AA1FBE" w:rsidP="00AA1FBE">
      <w:pPr>
        <w:rPr>
          <w:i/>
          <w:iCs/>
        </w:rPr>
      </w:pPr>
      <w:r w:rsidRPr="00AA1FBE">
        <w:rPr>
          <w:i/>
          <w:iCs/>
        </w:rPr>
        <w:t>Recruitment and Retention Allowances and Incentives</w:t>
      </w:r>
    </w:p>
    <w:p w14:paraId="3FC14E0F" w14:textId="6A1F8667" w:rsidR="002B1197" w:rsidRDefault="00AA1FBE" w:rsidP="00AA1FBE">
      <w:pPr>
        <w:pStyle w:val="Alphabet2"/>
        <w:numPr>
          <w:ilvl w:val="0"/>
          <w:numId w:val="0"/>
        </w:numPr>
        <w:spacing w:after="0" w:line="240" w:lineRule="auto"/>
        <w:jc w:val="both"/>
        <w:rPr>
          <w:rFonts w:asciiTheme="minorHAnsi" w:hAnsiTheme="minorHAnsi" w:cstheme="minorHAnsi"/>
          <w:bCs/>
          <w:sz w:val="22"/>
        </w:rPr>
      </w:pPr>
      <w:r>
        <w:rPr>
          <w:rFonts w:asciiTheme="minorHAnsi" w:hAnsiTheme="minorHAnsi" w:cstheme="minorHAnsi"/>
          <w:bCs/>
          <w:sz w:val="22"/>
        </w:rPr>
        <w:t>The Governing Body</w:t>
      </w:r>
      <w:r w:rsidR="002B1197" w:rsidRPr="002B1197">
        <w:rPr>
          <w:rFonts w:asciiTheme="minorHAnsi" w:hAnsiTheme="minorHAnsi" w:cstheme="minorHAnsi"/>
          <w:bCs/>
          <w:sz w:val="22"/>
        </w:rPr>
        <w:t xml:space="preserve"> will follow the requirements </w:t>
      </w:r>
      <w:r w:rsidR="002B1197" w:rsidRPr="00AA1FBE">
        <w:rPr>
          <w:rFonts w:asciiTheme="minorHAnsi" w:hAnsiTheme="minorHAnsi" w:cstheme="minorHAnsi"/>
          <w:bCs/>
          <w:sz w:val="22"/>
        </w:rPr>
        <w:t>of Paragraph 27</w:t>
      </w:r>
      <w:r w:rsidR="00ED2EA3">
        <w:rPr>
          <w:rFonts w:asciiTheme="minorHAnsi" w:hAnsiTheme="minorHAnsi" w:cstheme="minorHAnsi"/>
          <w:bCs/>
          <w:sz w:val="22"/>
        </w:rPr>
        <w:t xml:space="preserve"> of</w:t>
      </w:r>
      <w:r w:rsidR="002B1197" w:rsidRPr="00AA1FBE">
        <w:rPr>
          <w:rFonts w:asciiTheme="minorHAnsi" w:hAnsiTheme="minorHAnsi" w:cstheme="minorHAnsi"/>
          <w:bCs/>
          <w:sz w:val="22"/>
        </w:rPr>
        <w:t xml:space="preserve"> STPCD 202</w:t>
      </w:r>
      <w:r w:rsidR="00ED2EA3">
        <w:rPr>
          <w:rFonts w:asciiTheme="minorHAnsi" w:hAnsiTheme="minorHAnsi" w:cstheme="minorHAnsi"/>
          <w:bCs/>
          <w:sz w:val="22"/>
        </w:rPr>
        <w:t>1</w:t>
      </w:r>
      <w:r w:rsidR="002B1197" w:rsidRPr="00AA1FBE">
        <w:rPr>
          <w:rFonts w:asciiTheme="minorHAnsi" w:hAnsiTheme="minorHAnsi" w:cstheme="minorHAnsi"/>
          <w:bCs/>
          <w:sz w:val="22"/>
        </w:rPr>
        <w:t xml:space="preserve"> in relation </w:t>
      </w:r>
      <w:r w:rsidR="002B1197" w:rsidRPr="002B1197">
        <w:rPr>
          <w:rFonts w:asciiTheme="minorHAnsi" w:hAnsiTheme="minorHAnsi" w:cstheme="minorHAnsi"/>
          <w:bCs/>
          <w:sz w:val="22"/>
        </w:rPr>
        <w:t>to the use of such allowances and incentives and will review the use of existing and future allowances annually.</w:t>
      </w:r>
    </w:p>
    <w:p w14:paraId="3841E419" w14:textId="77777777" w:rsidR="00AA1FBE" w:rsidRPr="002B1197" w:rsidRDefault="00AA1FBE" w:rsidP="00AA1FBE">
      <w:pPr>
        <w:pStyle w:val="Alphabet2"/>
        <w:numPr>
          <w:ilvl w:val="0"/>
          <w:numId w:val="0"/>
        </w:numPr>
        <w:spacing w:after="0" w:line="240" w:lineRule="auto"/>
        <w:jc w:val="both"/>
        <w:rPr>
          <w:rFonts w:asciiTheme="minorHAnsi" w:hAnsiTheme="minorHAnsi" w:cstheme="minorHAnsi"/>
          <w:bCs/>
          <w:sz w:val="22"/>
        </w:rPr>
      </w:pPr>
    </w:p>
    <w:p w14:paraId="24DCD919" w14:textId="77777777" w:rsidR="002B1197" w:rsidRPr="002B1197" w:rsidRDefault="002B1197" w:rsidP="00AA1FBE">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Recruitment and Retention Allowances and Incentives require the prior approval of the Governing Body.</w:t>
      </w:r>
    </w:p>
    <w:p w14:paraId="47816BF9" w14:textId="77777777" w:rsidR="002B1197" w:rsidRPr="002B1197" w:rsidRDefault="002B1197" w:rsidP="00AA1FBE">
      <w:pPr>
        <w:pStyle w:val="ListParagraph"/>
        <w:spacing w:after="0" w:line="240" w:lineRule="auto"/>
        <w:ind w:left="0"/>
        <w:jc w:val="both"/>
        <w:rPr>
          <w:rFonts w:cstheme="minorHAnsi"/>
          <w:bCs/>
        </w:rPr>
      </w:pPr>
    </w:p>
    <w:p w14:paraId="4B180BC5" w14:textId="77777777" w:rsidR="002B1197" w:rsidRPr="002B1197" w:rsidRDefault="002B1197" w:rsidP="00AA1FBE">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All Recruitment and Retention Allowances are pensionable under the Teachers’ Pension Scheme.</w:t>
      </w:r>
    </w:p>
    <w:p w14:paraId="74885603" w14:textId="77777777" w:rsidR="002B1197" w:rsidRPr="002B1197" w:rsidRDefault="002B1197" w:rsidP="00AA1FBE">
      <w:pPr>
        <w:pStyle w:val="ListParagraph"/>
        <w:ind w:left="0"/>
        <w:jc w:val="both"/>
        <w:rPr>
          <w:rFonts w:cstheme="minorHAnsi"/>
          <w:b/>
          <w:bCs/>
        </w:rPr>
      </w:pPr>
    </w:p>
    <w:p w14:paraId="2D589BF0" w14:textId="2A734865" w:rsidR="002B1197" w:rsidRPr="00AA1FBE" w:rsidRDefault="00AA1FBE" w:rsidP="00AA1FBE">
      <w:pPr>
        <w:pStyle w:val="Alphabet1"/>
        <w:numPr>
          <w:ilvl w:val="0"/>
          <w:numId w:val="0"/>
        </w:numPr>
        <w:spacing w:after="0"/>
        <w:jc w:val="both"/>
        <w:rPr>
          <w:rFonts w:asciiTheme="minorHAnsi" w:hAnsiTheme="minorHAnsi" w:cstheme="minorHAnsi"/>
          <w:i/>
          <w:iCs/>
          <w:sz w:val="22"/>
        </w:rPr>
      </w:pPr>
      <w:r w:rsidRPr="00AA1FBE">
        <w:rPr>
          <w:rFonts w:asciiTheme="minorHAnsi" w:hAnsiTheme="minorHAnsi" w:cstheme="minorHAnsi"/>
          <w:i/>
          <w:iCs/>
          <w:sz w:val="22"/>
        </w:rPr>
        <w:t>Special Needs Allowance</w:t>
      </w:r>
    </w:p>
    <w:p w14:paraId="3B6320ED" w14:textId="77777777" w:rsidR="002B1197" w:rsidRPr="002B1197" w:rsidRDefault="002B1197" w:rsidP="00AA1FBE">
      <w:pPr>
        <w:pStyle w:val="ListParagraph"/>
        <w:ind w:left="0"/>
        <w:jc w:val="both"/>
        <w:rPr>
          <w:rFonts w:cstheme="minorHAnsi"/>
          <w:b/>
          <w:bCs/>
        </w:rPr>
      </w:pPr>
    </w:p>
    <w:p w14:paraId="126E376A" w14:textId="72D0D513" w:rsidR="00D71137" w:rsidRPr="002B1197" w:rsidRDefault="002B1197" w:rsidP="00AA1FBE">
      <w:pPr>
        <w:pStyle w:val="ListParagraph"/>
        <w:ind w:left="0"/>
        <w:jc w:val="both"/>
        <w:rPr>
          <w:rFonts w:cstheme="minorHAnsi"/>
          <w:b/>
          <w:bCs/>
        </w:rPr>
      </w:pPr>
      <w:r w:rsidRPr="002B1197">
        <w:rPr>
          <w:rFonts w:cstheme="minorHAnsi"/>
          <w:bCs/>
        </w:rPr>
        <w:t xml:space="preserve">Special Needs Allowances between the minimum and maximum may be awarded in accordance with </w:t>
      </w:r>
      <w:r>
        <w:rPr>
          <w:rFonts w:cstheme="minorHAnsi"/>
          <w:bCs/>
        </w:rPr>
        <w:t xml:space="preserve">the current </w:t>
      </w:r>
      <w:proofErr w:type="gramStart"/>
      <w:r>
        <w:rPr>
          <w:rFonts w:cstheme="minorHAnsi"/>
          <w:bCs/>
        </w:rPr>
        <w:t>STPCD</w:t>
      </w:r>
      <w:r w:rsidR="00AA1FBE">
        <w:rPr>
          <w:rFonts w:cstheme="minorHAnsi"/>
          <w:bCs/>
        </w:rPr>
        <w:t>;</w:t>
      </w:r>
      <w:proofErr w:type="gramEnd"/>
      <w:r>
        <w:rPr>
          <w:rFonts w:cstheme="minorHAnsi"/>
          <w:bCs/>
        </w:rPr>
        <w:t xml:space="preserve">               </w:t>
      </w:r>
    </w:p>
    <w:tbl>
      <w:tblPr>
        <w:tblStyle w:val="TableGrid"/>
        <w:tblW w:w="0" w:type="auto"/>
        <w:tblLook w:val="04A0" w:firstRow="1" w:lastRow="0" w:firstColumn="1" w:lastColumn="0" w:noHBand="0" w:noVBand="1"/>
      </w:tblPr>
      <w:tblGrid>
        <w:gridCol w:w="1797"/>
        <w:gridCol w:w="1804"/>
      </w:tblGrid>
      <w:tr w:rsidR="00D71137" w:rsidRPr="00D71137" w14:paraId="7E68B436" w14:textId="77777777" w:rsidTr="00D71137">
        <w:tc>
          <w:tcPr>
            <w:tcW w:w="1797" w:type="dxa"/>
            <w:shd w:val="clear" w:color="auto" w:fill="BFBFBF" w:themeFill="background1" w:themeFillShade="BF"/>
          </w:tcPr>
          <w:p w14:paraId="1636AE5C" w14:textId="77777777" w:rsidR="00D71137" w:rsidRPr="00D71137" w:rsidRDefault="00D71137" w:rsidP="00D71137">
            <w:pPr>
              <w:spacing w:after="160" w:line="259" w:lineRule="auto"/>
              <w:jc w:val="both"/>
              <w:rPr>
                <w:rFonts w:cstheme="minorHAnsi"/>
                <w:bCs/>
              </w:rPr>
            </w:pPr>
          </w:p>
        </w:tc>
        <w:tc>
          <w:tcPr>
            <w:tcW w:w="1804" w:type="dxa"/>
            <w:shd w:val="clear" w:color="auto" w:fill="BFBFBF" w:themeFill="background1" w:themeFillShade="BF"/>
          </w:tcPr>
          <w:p w14:paraId="4ABE379F" w14:textId="77777777" w:rsidR="00D71137" w:rsidRPr="00D71137" w:rsidRDefault="00D71137" w:rsidP="00D71137">
            <w:pPr>
              <w:spacing w:after="160" w:line="259" w:lineRule="auto"/>
              <w:jc w:val="both"/>
              <w:rPr>
                <w:rFonts w:cstheme="minorHAnsi"/>
                <w:bCs/>
              </w:rPr>
            </w:pPr>
            <w:r w:rsidRPr="00D71137">
              <w:rPr>
                <w:rFonts w:cstheme="minorHAnsi"/>
                <w:bCs/>
              </w:rPr>
              <w:t>SEN</w:t>
            </w:r>
          </w:p>
        </w:tc>
      </w:tr>
      <w:tr w:rsidR="00D71137" w:rsidRPr="00D71137" w14:paraId="36717E07" w14:textId="77777777" w:rsidTr="00D71137">
        <w:tc>
          <w:tcPr>
            <w:tcW w:w="1797" w:type="dxa"/>
          </w:tcPr>
          <w:p w14:paraId="6C02BCEA" w14:textId="070892D0" w:rsidR="00D71137" w:rsidRPr="00D71137" w:rsidRDefault="00D71137" w:rsidP="00D71137">
            <w:pPr>
              <w:spacing w:after="160" w:line="259" w:lineRule="auto"/>
              <w:jc w:val="both"/>
              <w:rPr>
                <w:rFonts w:cstheme="minorHAnsi"/>
                <w:bCs/>
              </w:rPr>
            </w:pPr>
            <w:r w:rsidRPr="00D71137">
              <w:rPr>
                <w:rFonts w:cstheme="minorHAnsi"/>
                <w:bCs/>
              </w:rPr>
              <w:t>MIN</w:t>
            </w:r>
          </w:p>
        </w:tc>
        <w:tc>
          <w:tcPr>
            <w:tcW w:w="1804" w:type="dxa"/>
          </w:tcPr>
          <w:p w14:paraId="693BCE98" w14:textId="77777777" w:rsidR="00D71137" w:rsidRPr="00D71137" w:rsidRDefault="00D71137" w:rsidP="00D71137">
            <w:pPr>
              <w:spacing w:after="160" w:line="259" w:lineRule="auto"/>
              <w:jc w:val="both"/>
              <w:rPr>
                <w:rFonts w:cstheme="minorHAnsi"/>
                <w:bCs/>
              </w:rPr>
            </w:pPr>
            <w:r w:rsidRPr="00D71137">
              <w:rPr>
                <w:rFonts w:cstheme="minorHAnsi"/>
                <w:bCs/>
              </w:rPr>
              <w:t>£2,270</w:t>
            </w:r>
          </w:p>
        </w:tc>
      </w:tr>
      <w:tr w:rsidR="00D71137" w:rsidRPr="00D71137" w14:paraId="0831445C" w14:textId="77777777" w:rsidTr="00D71137">
        <w:tc>
          <w:tcPr>
            <w:tcW w:w="1797" w:type="dxa"/>
            <w:shd w:val="clear" w:color="auto" w:fill="BFBFBF" w:themeFill="background1" w:themeFillShade="BF"/>
          </w:tcPr>
          <w:p w14:paraId="0896927D" w14:textId="6EF4E909" w:rsidR="00D71137" w:rsidRPr="00D71137" w:rsidRDefault="00D71137" w:rsidP="00D71137">
            <w:pPr>
              <w:spacing w:after="160" w:line="259" w:lineRule="auto"/>
              <w:jc w:val="both"/>
              <w:rPr>
                <w:rFonts w:cstheme="minorHAnsi"/>
                <w:bCs/>
              </w:rPr>
            </w:pPr>
            <w:r w:rsidRPr="00D71137">
              <w:rPr>
                <w:rFonts w:cstheme="minorHAnsi"/>
                <w:bCs/>
              </w:rPr>
              <w:t>MAX</w:t>
            </w:r>
          </w:p>
        </w:tc>
        <w:tc>
          <w:tcPr>
            <w:tcW w:w="1804" w:type="dxa"/>
            <w:shd w:val="clear" w:color="auto" w:fill="BFBFBF" w:themeFill="background1" w:themeFillShade="BF"/>
          </w:tcPr>
          <w:p w14:paraId="32F8A727" w14:textId="77777777" w:rsidR="00D71137" w:rsidRPr="00D71137" w:rsidRDefault="00D71137" w:rsidP="00D71137">
            <w:pPr>
              <w:spacing w:after="160" w:line="259" w:lineRule="auto"/>
              <w:jc w:val="both"/>
              <w:rPr>
                <w:rFonts w:cstheme="minorHAnsi"/>
                <w:bCs/>
              </w:rPr>
            </w:pPr>
            <w:r w:rsidRPr="00D71137">
              <w:rPr>
                <w:rFonts w:cstheme="minorHAnsi"/>
                <w:bCs/>
              </w:rPr>
              <w:t>£4,479</w:t>
            </w:r>
          </w:p>
        </w:tc>
      </w:tr>
    </w:tbl>
    <w:p w14:paraId="54A1E7E0" w14:textId="77777777" w:rsidR="00D71137" w:rsidRDefault="00D71137" w:rsidP="00D71137">
      <w:pPr>
        <w:jc w:val="both"/>
        <w:rPr>
          <w:rFonts w:cstheme="minorHAnsi"/>
          <w:b/>
          <w:bCs/>
        </w:rPr>
      </w:pPr>
    </w:p>
    <w:p w14:paraId="05F3AA25" w14:textId="77777777" w:rsidR="00AA1FBE" w:rsidRDefault="00AA1FBE" w:rsidP="00D71137">
      <w:pPr>
        <w:jc w:val="both"/>
        <w:rPr>
          <w:rFonts w:cstheme="minorHAnsi"/>
          <w:b/>
          <w:bCs/>
        </w:rPr>
      </w:pPr>
    </w:p>
    <w:p w14:paraId="0EFC1058" w14:textId="77777777" w:rsidR="00AA1FBE" w:rsidRDefault="00AA1FBE" w:rsidP="00D71137">
      <w:pPr>
        <w:jc w:val="both"/>
        <w:rPr>
          <w:rFonts w:cstheme="minorHAnsi"/>
          <w:b/>
          <w:bCs/>
        </w:rPr>
      </w:pPr>
    </w:p>
    <w:p w14:paraId="517B162B" w14:textId="55E3B7C8" w:rsidR="002B1197" w:rsidRPr="002B1197" w:rsidRDefault="00AA1FBE" w:rsidP="00D71137">
      <w:pPr>
        <w:jc w:val="both"/>
        <w:rPr>
          <w:rFonts w:cstheme="minorHAnsi"/>
          <w:b/>
          <w:bCs/>
        </w:rPr>
      </w:pPr>
      <w:r w:rsidRPr="002B1197">
        <w:rPr>
          <w:rFonts w:cstheme="minorHAnsi"/>
          <w:b/>
          <w:bCs/>
        </w:rPr>
        <w:t>Additional Payments</w:t>
      </w:r>
    </w:p>
    <w:p w14:paraId="1432E25E" w14:textId="28F54E30" w:rsidR="002B1197" w:rsidRPr="002B1197" w:rsidRDefault="00AA1FBE" w:rsidP="00AA1FBE">
      <w:pPr>
        <w:pStyle w:val="Alphabet2"/>
        <w:numPr>
          <w:ilvl w:val="0"/>
          <w:numId w:val="0"/>
        </w:numPr>
        <w:spacing w:after="0"/>
        <w:jc w:val="both"/>
        <w:rPr>
          <w:rFonts w:asciiTheme="minorHAnsi" w:hAnsiTheme="minorHAnsi" w:cstheme="minorHAnsi"/>
          <w:bCs/>
          <w:sz w:val="22"/>
        </w:rPr>
      </w:pPr>
      <w:r>
        <w:rPr>
          <w:rFonts w:asciiTheme="minorHAnsi" w:hAnsiTheme="minorHAnsi" w:cstheme="minorHAnsi"/>
          <w:bCs/>
          <w:sz w:val="22"/>
        </w:rPr>
        <w:t xml:space="preserve">The </w:t>
      </w:r>
      <w:proofErr w:type="gramStart"/>
      <w:r>
        <w:rPr>
          <w:rFonts w:asciiTheme="minorHAnsi" w:hAnsiTheme="minorHAnsi" w:cstheme="minorHAnsi"/>
          <w:bCs/>
          <w:sz w:val="22"/>
        </w:rPr>
        <w:t>School</w:t>
      </w:r>
      <w:proofErr w:type="gramEnd"/>
      <w:r w:rsidR="002B1197" w:rsidRPr="002B1197">
        <w:rPr>
          <w:rFonts w:asciiTheme="minorHAnsi" w:hAnsiTheme="minorHAnsi" w:cstheme="minorHAnsi"/>
          <w:bCs/>
          <w:sz w:val="22"/>
        </w:rPr>
        <w:t xml:space="preserve"> shall not make additional payments to staff</w:t>
      </w:r>
      <w:r>
        <w:rPr>
          <w:rFonts w:asciiTheme="minorHAnsi" w:hAnsiTheme="minorHAnsi" w:cstheme="minorHAnsi"/>
          <w:bCs/>
          <w:sz w:val="22"/>
        </w:rPr>
        <w:t xml:space="preserve"> for</w:t>
      </w:r>
      <w:r w:rsidR="002B1197" w:rsidRPr="002B1197">
        <w:rPr>
          <w:rFonts w:asciiTheme="minorHAnsi" w:hAnsiTheme="minorHAnsi" w:cstheme="minorHAnsi"/>
          <w:bCs/>
          <w:sz w:val="22"/>
        </w:rPr>
        <w:t>:</w:t>
      </w:r>
    </w:p>
    <w:p w14:paraId="7F22DAEE" w14:textId="77777777" w:rsidR="002B1197" w:rsidRPr="002B1197" w:rsidRDefault="002B1197" w:rsidP="00AA1FBE">
      <w:pPr>
        <w:pStyle w:val="ListParagraph"/>
        <w:spacing w:after="0" w:line="240" w:lineRule="auto"/>
        <w:ind w:left="1701"/>
        <w:jc w:val="both"/>
        <w:rPr>
          <w:rFonts w:cstheme="minorHAnsi"/>
          <w:bCs/>
        </w:rPr>
      </w:pPr>
    </w:p>
    <w:p w14:paraId="7735D1CC" w14:textId="76F9D1D1" w:rsidR="002B1197" w:rsidRPr="002B1197" w:rsidRDefault="002B1197" w:rsidP="00AA1FBE">
      <w:pPr>
        <w:pStyle w:val="ListParagraph"/>
        <w:numPr>
          <w:ilvl w:val="0"/>
          <w:numId w:val="9"/>
        </w:numPr>
        <w:spacing w:after="0" w:line="240" w:lineRule="auto"/>
        <w:jc w:val="both"/>
        <w:rPr>
          <w:rFonts w:cstheme="minorHAnsi"/>
          <w:bCs/>
        </w:rPr>
      </w:pPr>
      <w:r w:rsidRPr="002B1197">
        <w:rPr>
          <w:rFonts w:cstheme="minorHAnsi"/>
          <w:bCs/>
        </w:rPr>
        <w:t xml:space="preserve">CPD outside of the school </w:t>
      </w:r>
      <w:proofErr w:type="gramStart"/>
      <w:r w:rsidRPr="002B1197">
        <w:rPr>
          <w:rFonts w:cstheme="minorHAnsi"/>
          <w:bCs/>
        </w:rPr>
        <w:t>day;</w:t>
      </w:r>
      <w:proofErr w:type="gramEnd"/>
      <w:r w:rsidRPr="002B1197">
        <w:rPr>
          <w:rFonts w:cstheme="minorHAnsi"/>
          <w:bCs/>
        </w:rPr>
        <w:t xml:space="preserve"> </w:t>
      </w:r>
    </w:p>
    <w:p w14:paraId="66BE6A54" w14:textId="77777777" w:rsidR="002B1197" w:rsidRPr="002B1197" w:rsidRDefault="002B1197" w:rsidP="00AA1FBE">
      <w:pPr>
        <w:pStyle w:val="ListParagraph"/>
        <w:spacing w:after="0" w:line="240" w:lineRule="auto"/>
        <w:ind w:left="1418" w:hanging="567"/>
        <w:jc w:val="both"/>
        <w:rPr>
          <w:rFonts w:cstheme="minorHAnsi"/>
          <w:bCs/>
        </w:rPr>
      </w:pPr>
    </w:p>
    <w:p w14:paraId="32021606" w14:textId="77777777" w:rsidR="002B1197" w:rsidRPr="002B1197" w:rsidRDefault="002B1197" w:rsidP="00AA1FBE">
      <w:pPr>
        <w:pStyle w:val="ListParagraph"/>
        <w:numPr>
          <w:ilvl w:val="0"/>
          <w:numId w:val="9"/>
        </w:numPr>
        <w:spacing w:after="0" w:line="240" w:lineRule="auto"/>
        <w:jc w:val="both"/>
        <w:rPr>
          <w:rFonts w:cstheme="minorHAnsi"/>
          <w:bCs/>
        </w:rPr>
      </w:pPr>
      <w:r w:rsidRPr="002B1197">
        <w:rPr>
          <w:rFonts w:cstheme="minorHAnsi"/>
          <w:bCs/>
        </w:rPr>
        <w:t xml:space="preserve">activities relating to the provision of initial teacher training as part of ordinary conduct of the </w:t>
      </w:r>
      <w:proofErr w:type="gramStart"/>
      <w:r w:rsidRPr="002B1197">
        <w:rPr>
          <w:rFonts w:cstheme="minorHAnsi"/>
          <w:bCs/>
        </w:rPr>
        <w:t>School;</w:t>
      </w:r>
      <w:proofErr w:type="gramEnd"/>
    </w:p>
    <w:p w14:paraId="1513A12D" w14:textId="77777777" w:rsidR="002B1197" w:rsidRPr="002B1197" w:rsidRDefault="002B1197" w:rsidP="00AA1FBE">
      <w:pPr>
        <w:pStyle w:val="ListParagraph"/>
        <w:spacing w:after="0" w:line="240" w:lineRule="auto"/>
        <w:ind w:left="1418" w:hanging="567"/>
        <w:jc w:val="both"/>
        <w:rPr>
          <w:rFonts w:cstheme="minorHAnsi"/>
          <w:bCs/>
        </w:rPr>
      </w:pPr>
    </w:p>
    <w:p w14:paraId="2D1AE948" w14:textId="77777777" w:rsidR="002B1197" w:rsidRPr="002B1197" w:rsidRDefault="002B1197" w:rsidP="00AA1FBE">
      <w:pPr>
        <w:pStyle w:val="ListParagraph"/>
        <w:numPr>
          <w:ilvl w:val="0"/>
          <w:numId w:val="9"/>
        </w:numPr>
        <w:spacing w:after="0" w:line="240" w:lineRule="auto"/>
        <w:jc w:val="both"/>
        <w:rPr>
          <w:rFonts w:cstheme="minorHAnsi"/>
          <w:bCs/>
        </w:rPr>
      </w:pPr>
      <w:r w:rsidRPr="002B1197">
        <w:rPr>
          <w:rFonts w:cstheme="minorHAnsi"/>
          <w:bCs/>
        </w:rPr>
        <w:t xml:space="preserve">participation in out-of-school hours learning activity agreed by the </w:t>
      </w:r>
      <w:proofErr w:type="gramStart"/>
      <w:r w:rsidRPr="002B1197">
        <w:rPr>
          <w:rFonts w:cstheme="minorHAnsi"/>
          <w:bCs/>
        </w:rPr>
        <w:t>Headteacher;</w:t>
      </w:r>
      <w:proofErr w:type="gramEnd"/>
    </w:p>
    <w:p w14:paraId="7C742FE4" w14:textId="77777777" w:rsidR="002B1197" w:rsidRPr="002B1197" w:rsidRDefault="002B1197" w:rsidP="00AA1FBE">
      <w:pPr>
        <w:pStyle w:val="ListParagraph"/>
        <w:spacing w:after="0" w:line="240" w:lineRule="auto"/>
        <w:ind w:left="1418" w:hanging="567"/>
        <w:jc w:val="both"/>
        <w:rPr>
          <w:rFonts w:cstheme="minorHAnsi"/>
          <w:bCs/>
        </w:rPr>
      </w:pPr>
    </w:p>
    <w:p w14:paraId="105E3BA3" w14:textId="5673FF93" w:rsidR="002B1197" w:rsidRPr="002B1197" w:rsidRDefault="002B1197" w:rsidP="00AA1FBE">
      <w:pPr>
        <w:pStyle w:val="ListParagraph"/>
        <w:numPr>
          <w:ilvl w:val="0"/>
          <w:numId w:val="9"/>
        </w:numPr>
        <w:spacing w:after="0" w:line="240" w:lineRule="auto"/>
        <w:jc w:val="both"/>
        <w:rPr>
          <w:rFonts w:cstheme="minorHAnsi"/>
          <w:bCs/>
        </w:rPr>
      </w:pPr>
      <w:r w:rsidRPr="002B1197">
        <w:rPr>
          <w:rFonts w:cstheme="minorHAnsi"/>
          <w:bCs/>
        </w:rPr>
        <w:t>additional responsibilities and activities due to or in respect of the provision of service by a headteacher relating to the raising of educational standards to one or more additional schools</w:t>
      </w:r>
      <w:r w:rsidR="00ED2EA3">
        <w:rPr>
          <w:rFonts w:cstheme="minorHAnsi"/>
          <w:bCs/>
        </w:rPr>
        <w:t>.</w:t>
      </w:r>
    </w:p>
    <w:p w14:paraId="0A228ECC" w14:textId="77777777" w:rsidR="002B1197" w:rsidRPr="002B1197" w:rsidRDefault="002B1197" w:rsidP="00AA1FBE">
      <w:pPr>
        <w:spacing w:after="0" w:line="240" w:lineRule="auto"/>
        <w:ind w:firstLine="567"/>
        <w:jc w:val="both"/>
        <w:rPr>
          <w:rFonts w:cstheme="minorHAnsi"/>
          <w:bCs/>
        </w:rPr>
      </w:pPr>
    </w:p>
    <w:p w14:paraId="6ACCCC86" w14:textId="77777777" w:rsidR="002B1197" w:rsidRPr="00AA1FBE" w:rsidRDefault="002B1197" w:rsidP="00AA1FBE">
      <w:pPr>
        <w:spacing w:after="0" w:line="240" w:lineRule="auto"/>
        <w:jc w:val="both"/>
        <w:rPr>
          <w:rFonts w:cstheme="minorHAnsi"/>
          <w:bCs/>
          <w:highlight w:val="green"/>
        </w:rPr>
      </w:pPr>
      <w:r w:rsidRPr="00AA1FBE">
        <w:rPr>
          <w:rFonts w:cstheme="minorHAnsi"/>
          <w:bCs/>
        </w:rPr>
        <w:t>[</w:t>
      </w:r>
      <w:r w:rsidRPr="00AA1FBE">
        <w:rPr>
          <w:rFonts w:cstheme="minorHAnsi"/>
          <w:bCs/>
          <w:highlight w:val="green"/>
        </w:rPr>
        <w:t xml:space="preserve">EXCEPT as set out below: </w:t>
      </w:r>
    </w:p>
    <w:p w14:paraId="4DCF1528" w14:textId="77777777" w:rsidR="002B1197" w:rsidRPr="002B1197" w:rsidRDefault="002B1197" w:rsidP="00AA1FBE">
      <w:pPr>
        <w:spacing w:after="0" w:line="240" w:lineRule="auto"/>
        <w:ind w:left="851"/>
        <w:jc w:val="both"/>
        <w:rPr>
          <w:rFonts w:cstheme="minorHAnsi"/>
          <w:bCs/>
          <w:highlight w:val="green"/>
        </w:rPr>
      </w:pPr>
    </w:p>
    <w:p w14:paraId="1C6B8FB4" w14:textId="77777777" w:rsidR="002B1197" w:rsidRPr="00AA1FBE" w:rsidRDefault="002B1197" w:rsidP="00AA1FBE">
      <w:pPr>
        <w:spacing w:after="0" w:line="240" w:lineRule="auto"/>
        <w:jc w:val="both"/>
        <w:rPr>
          <w:rFonts w:cstheme="minorHAnsi"/>
          <w:bCs/>
        </w:rPr>
      </w:pPr>
      <w:r w:rsidRPr="00AA1FBE">
        <w:rPr>
          <w:rFonts w:cstheme="minorHAnsi"/>
          <w:bCs/>
          <w:highlight w:val="green"/>
        </w:rPr>
        <w:t>INSERT</w:t>
      </w:r>
    </w:p>
    <w:p w14:paraId="65749CA4" w14:textId="77777777" w:rsidR="002B1197" w:rsidRPr="002B1197" w:rsidRDefault="002B1197" w:rsidP="00AA1FBE">
      <w:pPr>
        <w:spacing w:after="0" w:line="240" w:lineRule="auto"/>
        <w:ind w:firstLine="567"/>
        <w:jc w:val="both"/>
        <w:rPr>
          <w:rFonts w:cstheme="minorHAnsi"/>
          <w:bCs/>
        </w:rPr>
      </w:pPr>
    </w:p>
    <w:p w14:paraId="45AA3EE2" w14:textId="77777777" w:rsidR="002B1197" w:rsidRPr="002B1197" w:rsidRDefault="002B1197" w:rsidP="00AA1FBE">
      <w:pPr>
        <w:pStyle w:val="Alphabet2"/>
        <w:numPr>
          <w:ilvl w:val="0"/>
          <w:numId w:val="0"/>
        </w:numPr>
        <w:spacing w:after="0" w:line="240" w:lineRule="auto"/>
        <w:jc w:val="both"/>
        <w:rPr>
          <w:rFonts w:asciiTheme="minorHAnsi" w:hAnsiTheme="minorHAnsi" w:cstheme="minorHAnsi"/>
          <w:bCs/>
          <w:sz w:val="22"/>
          <w:highlight w:val="green"/>
        </w:rPr>
      </w:pPr>
      <w:r w:rsidRPr="002B1197">
        <w:rPr>
          <w:rFonts w:asciiTheme="minorHAnsi" w:hAnsiTheme="minorHAnsi" w:cstheme="minorHAnsi"/>
          <w:bCs/>
          <w:sz w:val="22"/>
          <w:highlight w:val="green"/>
        </w:rPr>
        <w:t xml:space="preserve">The total of such additional payments </w:t>
      </w:r>
      <w:proofErr w:type="gramStart"/>
      <w:r w:rsidRPr="002B1197">
        <w:rPr>
          <w:rFonts w:asciiTheme="minorHAnsi" w:hAnsiTheme="minorHAnsi" w:cstheme="minorHAnsi"/>
          <w:bCs/>
          <w:sz w:val="22"/>
          <w:highlight w:val="green"/>
        </w:rPr>
        <w:t>are</w:t>
      </w:r>
      <w:proofErr w:type="gramEnd"/>
      <w:r w:rsidRPr="002B1197">
        <w:rPr>
          <w:rFonts w:asciiTheme="minorHAnsi" w:hAnsiTheme="minorHAnsi" w:cstheme="minorHAnsi"/>
          <w:bCs/>
          <w:sz w:val="22"/>
          <w:highlight w:val="green"/>
        </w:rPr>
        <w:t xml:space="preserve"> reported termly to the Governing Body.</w:t>
      </w:r>
    </w:p>
    <w:p w14:paraId="2F3B2EE2" w14:textId="77777777" w:rsidR="002B1197" w:rsidRPr="002B1197" w:rsidRDefault="002B1197" w:rsidP="00AA1FBE">
      <w:pPr>
        <w:spacing w:after="0" w:line="240" w:lineRule="auto"/>
        <w:ind w:left="720" w:hanging="720"/>
        <w:jc w:val="both"/>
        <w:rPr>
          <w:rFonts w:cstheme="minorHAnsi"/>
          <w:bCs/>
          <w:highlight w:val="cyan"/>
        </w:rPr>
      </w:pPr>
    </w:p>
    <w:p w14:paraId="0C825238" w14:textId="77777777" w:rsidR="002B1197" w:rsidRPr="002B1197" w:rsidRDefault="002B1197" w:rsidP="00AA1FBE">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All additional payments are pensionable under the Teachers’ Pension Scheme.</w:t>
      </w:r>
    </w:p>
    <w:p w14:paraId="7E98F812" w14:textId="77777777" w:rsidR="002B1197" w:rsidRPr="002B1197" w:rsidRDefault="002B1197" w:rsidP="002B1197">
      <w:pPr>
        <w:ind w:left="720" w:hanging="720"/>
        <w:jc w:val="both"/>
        <w:rPr>
          <w:rFonts w:cstheme="minorHAnsi"/>
          <w:bCs/>
        </w:rPr>
      </w:pPr>
    </w:p>
    <w:p w14:paraId="1FF4BE5C" w14:textId="34D37A61" w:rsidR="002B1197" w:rsidRPr="002B1197" w:rsidRDefault="00C07F52" w:rsidP="00C07F52">
      <w:pPr>
        <w:spacing w:after="0" w:line="240" w:lineRule="auto"/>
        <w:jc w:val="both"/>
        <w:rPr>
          <w:rFonts w:cstheme="minorHAnsi"/>
          <w:b/>
          <w:bCs/>
        </w:rPr>
      </w:pPr>
      <w:r w:rsidRPr="002B1197">
        <w:rPr>
          <w:rFonts w:cstheme="minorHAnsi"/>
          <w:b/>
          <w:bCs/>
        </w:rPr>
        <w:t>Acting Allowances</w:t>
      </w:r>
    </w:p>
    <w:p w14:paraId="3144DA57" w14:textId="77777777" w:rsidR="00C07F52" w:rsidRDefault="00C07F52" w:rsidP="00C07F52">
      <w:pPr>
        <w:pStyle w:val="ListParagraph"/>
        <w:spacing w:after="0" w:line="240" w:lineRule="auto"/>
        <w:ind w:left="0"/>
        <w:jc w:val="both"/>
        <w:rPr>
          <w:rFonts w:cstheme="minorHAnsi"/>
          <w:bCs/>
        </w:rPr>
      </w:pPr>
    </w:p>
    <w:p w14:paraId="70206F9F" w14:textId="6C41BEE2" w:rsidR="002B1197" w:rsidRPr="002B1197" w:rsidRDefault="00C07F52" w:rsidP="00C07F52">
      <w:pPr>
        <w:pStyle w:val="ListParagraph"/>
        <w:spacing w:after="0" w:line="240" w:lineRule="auto"/>
        <w:ind w:left="0"/>
        <w:jc w:val="both"/>
        <w:rPr>
          <w:rFonts w:cstheme="minorHAnsi"/>
          <w:b/>
          <w:bCs/>
        </w:rPr>
      </w:pPr>
      <w:r>
        <w:rPr>
          <w:rFonts w:cstheme="minorHAnsi"/>
          <w:bCs/>
        </w:rPr>
        <w:t xml:space="preserve">The </w:t>
      </w:r>
      <w:proofErr w:type="gramStart"/>
      <w:r>
        <w:rPr>
          <w:rFonts w:cstheme="minorHAnsi"/>
          <w:bCs/>
        </w:rPr>
        <w:t>School</w:t>
      </w:r>
      <w:proofErr w:type="gramEnd"/>
      <w:r w:rsidR="002B1197" w:rsidRPr="002B1197">
        <w:rPr>
          <w:rFonts w:cstheme="minorHAnsi"/>
          <w:bCs/>
        </w:rPr>
        <w:t xml:space="preserve"> will follow </w:t>
      </w:r>
      <w:r w:rsidR="002B1197">
        <w:rPr>
          <w:rFonts w:cstheme="minorHAnsi"/>
          <w:bCs/>
        </w:rPr>
        <w:t xml:space="preserve">current STPCD </w:t>
      </w:r>
      <w:r w:rsidR="002B1197" w:rsidRPr="002B1197">
        <w:rPr>
          <w:rFonts w:cstheme="minorHAnsi"/>
          <w:bCs/>
        </w:rPr>
        <w:t>which governs the use of acting allowances for persons temporarily filling roles on the Leadership Pay Range.</w:t>
      </w:r>
    </w:p>
    <w:p w14:paraId="5D2918F4" w14:textId="77777777" w:rsidR="00C07F52" w:rsidRDefault="00C07F52" w:rsidP="00C07F52">
      <w:pPr>
        <w:spacing w:after="0" w:line="240" w:lineRule="auto"/>
        <w:jc w:val="both"/>
        <w:rPr>
          <w:rFonts w:cstheme="minorHAnsi"/>
          <w:b/>
          <w:bCs/>
        </w:rPr>
      </w:pPr>
    </w:p>
    <w:p w14:paraId="3C097AFF" w14:textId="51DBFB2C" w:rsidR="002B1197" w:rsidRPr="002B1197" w:rsidRDefault="00C07F52" w:rsidP="00C07F52">
      <w:pPr>
        <w:spacing w:after="0" w:line="240" w:lineRule="auto"/>
        <w:jc w:val="both"/>
        <w:rPr>
          <w:rFonts w:cstheme="minorHAnsi"/>
          <w:b/>
          <w:bCs/>
        </w:rPr>
      </w:pPr>
      <w:r w:rsidRPr="002B1197">
        <w:rPr>
          <w:rFonts w:cstheme="minorHAnsi"/>
          <w:b/>
          <w:bCs/>
        </w:rPr>
        <w:t>Salary Sacrifice Arrangements</w:t>
      </w:r>
    </w:p>
    <w:p w14:paraId="731C2065" w14:textId="77777777" w:rsidR="00C07F52" w:rsidRDefault="00C07F52" w:rsidP="00C07F52">
      <w:pPr>
        <w:pStyle w:val="ListParagraph"/>
        <w:spacing w:after="0" w:line="240" w:lineRule="auto"/>
        <w:ind w:left="0"/>
        <w:jc w:val="both"/>
        <w:rPr>
          <w:rFonts w:cstheme="minorHAnsi"/>
          <w:bCs/>
        </w:rPr>
      </w:pPr>
    </w:p>
    <w:p w14:paraId="3997539B" w14:textId="3979075C" w:rsidR="002B1197" w:rsidRPr="002B1197" w:rsidRDefault="002B1197" w:rsidP="00C07F52">
      <w:pPr>
        <w:pStyle w:val="ListParagraph"/>
        <w:spacing w:after="0" w:line="240" w:lineRule="auto"/>
        <w:ind w:left="0"/>
        <w:jc w:val="both"/>
        <w:rPr>
          <w:rFonts w:cstheme="minorHAnsi"/>
          <w:b/>
          <w:bCs/>
        </w:rPr>
      </w:pPr>
      <w:r w:rsidRPr="002B1197">
        <w:rPr>
          <w:rFonts w:cstheme="minorHAnsi"/>
          <w:bCs/>
        </w:rPr>
        <w:t xml:space="preserve">Where such arrangements are in place </w:t>
      </w:r>
      <w:r>
        <w:rPr>
          <w:rFonts w:cstheme="minorHAnsi"/>
          <w:bCs/>
        </w:rPr>
        <w:t xml:space="preserve">the current STPCD </w:t>
      </w:r>
      <w:r w:rsidRPr="002B1197">
        <w:rPr>
          <w:rFonts w:cstheme="minorHAnsi"/>
          <w:bCs/>
        </w:rPr>
        <w:t>shall apply to the relevant teacher.</w:t>
      </w:r>
    </w:p>
    <w:p w14:paraId="7D6F2E55" w14:textId="77777777" w:rsidR="002B1197" w:rsidRPr="002B1197" w:rsidRDefault="002B1197" w:rsidP="00C07F52">
      <w:pPr>
        <w:spacing w:after="0" w:line="240" w:lineRule="auto"/>
        <w:jc w:val="both"/>
        <w:rPr>
          <w:rFonts w:cstheme="minorHAnsi"/>
          <w:b/>
          <w:bCs/>
        </w:rPr>
      </w:pPr>
    </w:p>
    <w:p w14:paraId="2D516898" w14:textId="48F7FA14" w:rsidR="002B1197" w:rsidRPr="002B1197" w:rsidRDefault="00C07F52" w:rsidP="00C07F52">
      <w:pPr>
        <w:pStyle w:val="Alphabet1"/>
        <w:numPr>
          <w:ilvl w:val="0"/>
          <w:numId w:val="0"/>
        </w:numPr>
        <w:spacing w:after="0" w:line="240" w:lineRule="auto"/>
        <w:jc w:val="both"/>
        <w:rPr>
          <w:rFonts w:asciiTheme="minorHAnsi" w:hAnsiTheme="minorHAnsi" w:cstheme="minorHAnsi"/>
          <w:b/>
          <w:bCs/>
          <w:sz w:val="22"/>
        </w:rPr>
      </w:pPr>
      <w:r w:rsidRPr="002B1197">
        <w:rPr>
          <w:rFonts w:asciiTheme="minorHAnsi" w:hAnsiTheme="minorHAnsi" w:cstheme="minorHAnsi"/>
          <w:b/>
          <w:bCs/>
          <w:sz w:val="22"/>
        </w:rPr>
        <w:t>Bonuses And Honoraria</w:t>
      </w:r>
    </w:p>
    <w:p w14:paraId="2736D0C9" w14:textId="77777777" w:rsidR="00C07F52" w:rsidRDefault="00C07F52" w:rsidP="00C07F52">
      <w:pPr>
        <w:pStyle w:val="Alphabet2"/>
        <w:numPr>
          <w:ilvl w:val="0"/>
          <w:numId w:val="0"/>
        </w:numPr>
        <w:spacing w:after="0" w:line="240" w:lineRule="auto"/>
        <w:jc w:val="both"/>
        <w:rPr>
          <w:rFonts w:asciiTheme="minorHAnsi" w:hAnsiTheme="minorHAnsi" w:cstheme="minorHAnsi"/>
          <w:bCs/>
          <w:sz w:val="22"/>
        </w:rPr>
      </w:pPr>
    </w:p>
    <w:p w14:paraId="03EA608B" w14:textId="1913C9F1" w:rsidR="002B1197" w:rsidRPr="002B1197" w:rsidRDefault="002B1197" w:rsidP="00C07F52">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We will not, as a matter of law, make any payment in the form of a bonus or honorarium.</w:t>
      </w:r>
    </w:p>
    <w:p w14:paraId="51867083" w14:textId="77777777" w:rsidR="002B1197" w:rsidRPr="002B1197" w:rsidRDefault="002B1197" w:rsidP="00C07F52">
      <w:pPr>
        <w:spacing w:after="0" w:line="240" w:lineRule="auto"/>
        <w:jc w:val="both"/>
        <w:rPr>
          <w:rFonts w:cstheme="minorHAnsi"/>
          <w:bCs/>
        </w:rPr>
      </w:pPr>
    </w:p>
    <w:p w14:paraId="2D973E63" w14:textId="46DDCF06" w:rsidR="002B1197" w:rsidRPr="002B1197" w:rsidRDefault="00C07F52" w:rsidP="00C07F52">
      <w:pPr>
        <w:pStyle w:val="Alphabet1"/>
        <w:numPr>
          <w:ilvl w:val="0"/>
          <w:numId w:val="0"/>
        </w:numPr>
        <w:spacing w:after="0" w:line="240" w:lineRule="auto"/>
        <w:jc w:val="both"/>
        <w:rPr>
          <w:rFonts w:asciiTheme="minorHAnsi" w:hAnsiTheme="minorHAnsi" w:cstheme="minorHAnsi"/>
          <w:b/>
          <w:bCs/>
          <w:sz w:val="22"/>
        </w:rPr>
      </w:pPr>
      <w:r w:rsidRPr="002B1197">
        <w:rPr>
          <w:rFonts w:asciiTheme="minorHAnsi" w:hAnsiTheme="minorHAnsi" w:cstheme="minorHAnsi"/>
          <w:b/>
          <w:bCs/>
          <w:sz w:val="22"/>
        </w:rPr>
        <w:t>Freedom Of Information Act</w:t>
      </w:r>
    </w:p>
    <w:p w14:paraId="1E412BEA" w14:textId="77777777" w:rsidR="002B1197" w:rsidRPr="002B1197" w:rsidRDefault="002B1197" w:rsidP="00C07F52">
      <w:pPr>
        <w:pStyle w:val="ListParagraph"/>
        <w:spacing w:after="0" w:line="240" w:lineRule="auto"/>
        <w:ind w:left="0"/>
        <w:jc w:val="both"/>
        <w:rPr>
          <w:rFonts w:cstheme="minorHAnsi"/>
          <w:b/>
          <w:bCs/>
        </w:rPr>
      </w:pPr>
    </w:p>
    <w:p w14:paraId="453E8294" w14:textId="77777777" w:rsidR="002B1197" w:rsidRPr="002B1197" w:rsidRDefault="002B1197" w:rsidP="00C07F52">
      <w:pPr>
        <w:pStyle w:val="ListParagraph"/>
        <w:spacing w:after="0" w:line="240" w:lineRule="auto"/>
        <w:ind w:left="0"/>
        <w:jc w:val="both"/>
        <w:rPr>
          <w:rFonts w:cstheme="minorHAnsi"/>
          <w:b/>
          <w:bCs/>
        </w:rPr>
      </w:pPr>
      <w:r w:rsidRPr="002B1197">
        <w:rPr>
          <w:rFonts w:cstheme="minorHAnsi"/>
          <w:bCs/>
        </w:rPr>
        <w:t>This policy is disclosable under the Freedom of Information Act.</w:t>
      </w:r>
    </w:p>
    <w:p w14:paraId="0A24480D" w14:textId="77777777" w:rsidR="002B1197" w:rsidRPr="002B1197" w:rsidRDefault="002B1197" w:rsidP="00C07F52">
      <w:pPr>
        <w:pStyle w:val="ListParagraph"/>
        <w:spacing w:after="0" w:line="240" w:lineRule="auto"/>
        <w:ind w:left="0"/>
        <w:jc w:val="both"/>
        <w:rPr>
          <w:rFonts w:cstheme="minorHAnsi"/>
          <w:b/>
          <w:bCs/>
        </w:rPr>
      </w:pPr>
    </w:p>
    <w:p w14:paraId="2CECDDDC" w14:textId="509DD774" w:rsidR="002B1197" w:rsidRPr="002B1197" w:rsidRDefault="00C07F52" w:rsidP="00C07F52">
      <w:pPr>
        <w:pStyle w:val="Alphabet1"/>
        <w:numPr>
          <w:ilvl w:val="0"/>
          <w:numId w:val="0"/>
        </w:numPr>
        <w:spacing w:after="0" w:line="240" w:lineRule="auto"/>
        <w:jc w:val="both"/>
        <w:rPr>
          <w:rFonts w:asciiTheme="minorHAnsi" w:hAnsiTheme="minorHAnsi" w:cstheme="minorHAnsi"/>
          <w:b/>
          <w:bCs/>
          <w:sz w:val="22"/>
        </w:rPr>
      </w:pPr>
      <w:r w:rsidRPr="002B1197">
        <w:rPr>
          <w:rFonts w:asciiTheme="minorHAnsi" w:hAnsiTheme="minorHAnsi" w:cstheme="minorHAnsi"/>
          <w:b/>
          <w:bCs/>
          <w:sz w:val="22"/>
        </w:rPr>
        <w:t>Retention Of Records</w:t>
      </w:r>
    </w:p>
    <w:p w14:paraId="1608112C" w14:textId="77777777" w:rsidR="002B1197" w:rsidRPr="002B1197" w:rsidRDefault="002B1197" w:rsidP="00C07F52">
      <w:pPr>
        <w:pStyle w:val="ListParagraph"/>
        <w:spacing w:after="0" w:line="240" w:lineRule="auto"/>
        <w:ind w:left="0"/>
        <w:jc w:val="both"/>
        <w:rPr>
          <w:rFonts w:cstheme="minorHAnsi"/>
          <w:b/>
          <w:bCs/>
        </w:rPr>
      </w:pPr>
    </w:p>
    <w:p w14:paraId="4E878D11" w14:textId="77777777" w:rsidR="002B1197" w:rsidRPr="002B1197" w:rsidRDefault="002B1197" w:rsidP="00C07F52">
      <w:pPr>
        <w:pStyle w:val="ListParagraph"/>
        <w:spacing w:after="0" w:line="240" w:lineRule="auto"/>
        <w:ind w:left="0"/>
        <w:jc w:val="both"/>
        <w:rPr>
          <w:rFonts w:cstheme="minorHAnsi"/>
          <w:b/>
          <w:bCs/>
        </w:rPr>
      </w:pPr>
      <w:r w:rsidRPr="002B1197">
        <w:rPr>
          <w:rFonts w:cstheme="minorHAnsi"/>
          <w:bCs/>
        </w:rPr>
        <w:t xml:space="preserve">Given the ongoing need to ensure equal pay the </w:t>
      </w:r>
      <w:proofErr w:type="gramStart"/>
      <w:r w:rsidRPr="002B1197">
        <w:rPr>
          <w:rFonts w:cstheme="minorHAnsi"/>
          <w:bCs/>
        </w:rPr>
        <w:t>School</w:t>
      </w:r>
      <w:proofErr w:type="gramEnd"/>
      <w:r w:rsidRPr="002B1197">
        <w:rPr>
          <w:rFonts w:cstheme="minorHAnsi"/>
          <w:bCs/>
        </w:rPr>
        <w:t xml:space="preserve"> shall retain all paperwork relating to any decision whether or not to make a pay rise and shall not destroy any records until at least 7 years after the relevant employee has ceased to be employed by the School.</w:t>
      </w:r>
    </w:p>
    <w:p w14:paraId="413B94FA" w14:textId="77777777" w:rsidR="002B1197" w:rsidRPr="002B1197" w:rsidRDefault="002B1197" w:rsidP="00AA1FBE">
      <w:pPr>
        <w:jc w:val="both"/>
        <w:rPr>
          <w:rFonts w:cstheme="minorHAnsi"/>
          <w:bCs/>
        </w:rPr>
      </w:pPr>
    </w:p>
    <w:p w14:paraId="25CEFF75" w14:textId="1CE27C33" w:rsidR="002B1197" w:rsidRPr="002B1197" w:rsidRDefault="00C07F52" w:rsidP="00C07F52">
      <w:pPr>
        <w:pStyle w:val="Alphabet1"/>
        <w:numPr>
          <w:ilvl w:val="0"/>
          <w:numId w:val="0"/>
        </w:numPr>
        <w:spacing w:after="0" w:line="240" w:lineRule="auto"/>
        <w:jc w:val="both"/>
        <w:rPr>
          <w:rFonts w:asciiTheme="minorHAnsi" w:hAnsiTheme="minorHAnsi" w:cstheme="minorHAnsi"/>
          <w:b/>
          <w:bCs/>
          <w:sz w:val="22"/>
        </w:rPr>
      </w:pPr>
      <w:r w:rsidRPr="002B1197">
        <w:rPr>
          <w:rFonts w:asciiTheme="minorHAnsi" w:hAnsiTheme="minorHAnsi" w:cstheme="minorHAnsi"/>
          <w:b/>
          <w:bCs/>
          <w:sz w:val="22"/>
        </w:rPr>
        <w:t>Maternity And Other Absences</w:t>
      </w:r>
    </w:p>
    <w:p w14:paraId="60A097DA" w14:textId="77777777" w:rsidR="00C07F52" w:rsidRDefault="00C07F52" w:rsidP="00C07F52">
      <w:pPr>
        <w:pStyle w:val="Alphabet2"/>
        <w:numPr>
          <w:ilvl w:val="0"/>
          <w:numId w:val="0"/>
        </w:numPr>
        <w:spacing w:after="0" w:line="240" w:lineRule="auto"/>
        <w:jc w:val="both"/>
        <w:rPr>
          <w:rFonts w:asciiTheme="minorHAnsi" w:hAnsiTheme="minorHAnsi" w:cstheme="minorHAnsi"/>
          <w:bCs/>
          <w:sz w:val="22"/>
        </w:rPr>
      </w:pPr>
    </w:p>
    <w:p w14:paraId="36EC7B82" w14:textId="3B20824B" w:rsidR="002B1197" w:rsidRPr="002B1197" w:rsidRDefault="002B1197" w:rsidP="00C07F52">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 xml:space="preserve">A teacher who is absent from work on maternity leave at the time of the annual pay review in September/October shall have a pay decision made </w:t>
      </w:r>
      <w:proofErr w:type="gramStart"/>
      <w:r w:rsidRPr="002B1197">
        <w:rPr>
          <w:rFonts w:asciiTheme="minorHAnsi" w:hAnsiTheme="minorHAnsi" w:cstheme="minorHAnsi"/>
          <w:bCs/>
          <w:sz w:val="22"/>
        </w:rPr>
        <w:t>on the basis of</w:t>
      </w:r>
      <w:proofErr w:type="gramEnd"/>
      <w:r w:rsidRPr="002B1197">
        <w:rPr>
          <w:rFonts w:asciiTheme="minorHAnsi" w:hAnsiTheme="minorHAnsi" w:cstheme="minorHAnsi"/>
          <w:bCs/>
          <w:sz w:val="22"/>
        </w:rPr>
        <w:t xml:space="preserve"> all available evidence for the previous appraisal year. This evidence may include the performance of pupils whom the teacher taught prior to maternity leave in exams taken during the teacher’s maternity leave.</w:t>
      </w:r>
    </w:p>
    <w:p w14:paraId="294B0185" w14:textId="77777777" w:rsidR="002B1197" w:rsidRPr="002B1197" w:rsidRDefault="002B1197" w:rsidP="00C07F52">
      <w:pPr>
        <w:spacing w:after="0" w:line="240" w:lineRule="auto"/>
        <w:jc w:val="both"/>
        <w:rPr>
          <w:rFonts w:cstheme="minorHAnsi"/>
          <w:bCs/>
        </w:rPr>
      </w:pPr>
    </w:p>
    <w:p w14:paraId="3D86163F" w14:textId="77777777" w:rsidR="002B1197" w:rsidRPr="002B1197" w:rsidRDefault="002B1197" w:rsidP="00C07F52">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 xml:space="preserve">In the unlikely event of there being no evidence at all on which to base a pay decision because of a teacher’s absence on maternity leave the </w:t>
      </w:r>
      <w:proofErr w:type="gramStart"/>
      <w:r w:rsidRPr="002B1197">
        <w:rPr>
          <w:rFonts w:asciiTheme="minorHAnsi" w:hAnsiTheme="minorHAnsi" w:cstheme="minorHAnsi"/>
          <w:bCs/>
          <w:sz w:val="22"/>
        </w:rPr>
        <w:t>School</w:t>
      </w:r>
      <w:proofErr w:type="gramEnd"/>
      <w:r w:rsidRPr="002B1197">
        <w:rPr>
          <w:rFonts w:asciiTheme="minorHAnsi" w:hAnsiTheme="minorHAnsi" w:cstheme="minorHAnsi"/>
          <w:bCs/>
          <w:sz w:val="22"/>
        </w:rPr>
        <w:t xml:space="preserve"> may make a pay decision based on the previous two years’ performance and appraisals. </w:t>
      </w:r>
    </w:p>
    <w:p w14:paraId="5C103AF0" w14:textId="77777777" w:rsidR="002B1197" w:rsidRPr="002B1197" w:rsidRDefault="002B1197" w:rsidP="00C07F52">
      <w:pPr>
        <w:spacing w:after="0" w:line="240" w:lineRule="auto"/>
        <w:jc w:val="both"/>
        <w:rPr>
          <w:rFonts w:cstheme="minorHAnsi"/>
          <w:bCs/>
        </w:rPr>
      </w:pPr>
    </w:p>
    <w:p w14:paraId="75B1F109" w14:textId="392F92F9" w:rsidR="002B1197" w:rsidRPr="002B1197" w:rsidRDefault="002B1197" w:rsidP="00C07F52">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Where a pay decision requires evidence of two years</w:t>
      </w:r>
      <w:r w:rsidR="004A54A5">
        <w:rPr>
          <w:rFonts w:asciiTheme="minorHAnsi" w:hAnsiTheme="minorHAnsi" w:cstheme="minorHAnsi"/>
          <w:bCs/>
          <w:sz w:val="22"/>
        </w:rPr>
        <w:t xml:space="preserve">’ </w:t>
      </w:r>
      <w:r w:rsidRPr="002B1197">
        <w:rPr>
          <w:rFonts w:asciiTheme="minorHAnsi" w:hAnsiTheme="minorHAnsi" w:cstheme="minorHAnsi"/>
          <w:bCs/>
          <w:sz w:val="22"/>
        </w:rPr>
        <w:t>performance this period may be extended to three years if the teacher was absent for one year on maternity leave.</w:t>
      </w:r>
    </w:p>
    <w:p w14:paraId="4678DD08" w14:textId="77777777" w:rsidR="002B1197" w:rsidRPr="002B1197" w:rsidRDefault="002B1197" w:rsidP="00C07F52">
      <w:pPr>
        <w:spacing w:after="0" w:line="240" w:lineRule="auto"/>
        <w:jc w:val="both"/>
        <w:rPr>
          <w:rFonts w:cstheme="minorHAnsi"/>
          <w:bCs/>
        </w:rPr>
      </w:pPr>
    </w:p>
    <w:p w14:paraId="25C45200" w14:textId="77777777" w:rsidR="002B1197" w:rsidRPr="002B1197" w:rsidRDefault="002B1197" w:rsidP="00C07F52">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The purpose of these provisions is to ensure that a teacher on maternity leave is not unfairly prejudiced in her career progression. We believe that this is a proportionate approach as it does not give an automatic pay rise but rather allows one that is connected to past performance.</w:t>
      </w:r>
    </w:p>
    <w:p w14:paraId="014178AC" w14:textId="77777777" w:rsidR="00C07F52" w:rsidRDefault="00C07F52" w:rsidP="00C07F52">
      <w:pPr>
        <w:pStyle w:val="Alphabet2"/>
        <w:numPr>
          <w:ilvl w:val="0"/>
          <w:numId w:val="0"/>
        </w:numPr>
        <w:spacing w:after="0" w:line="240" w:lineRule="auto"/>
        <w:jc w:val="both"/>
        <w:rPr>
          <w:rFonts w:asciiTheme="minorHAnsi" w:hAnsiTheme="minorHAnsi" w:cstheme="minorHAnsi"/>
          <w:bCs/>
          <w:sz w:val="22"/>
        </w:rPr>
      </w:pPr>
    </w:p>
    <w:p w14:paraId="778A9886" w14:textId="767A1B89" w:rsidR="002B1197" w:rsidRPr="002B1197" w:rsidRDefault="002B1197" w:rsidP="00C07F52">
      <w:pPr>
        <w:pStyle w:val="Alphabet2"/>
        <w:numPr>
          <w:ilvl w:val="0"/>
          <w:numId w:val="0"/>
        </w:numPr>
        <w:spacing w:after="0" w:line="240" w:lineRule="auto"/>
        <w:jc w:val="both"/>
        <w:rPr>
          <w:rFonts w:asciiTheme="minorHAnsi" w:hAnsiTheme="minorHAnsi" w:cstheme="minorHAnsi"/>
          <w:bCs/>
          <w:sz w:val="22"/>
        </w:rPr>
      </w:pPr>
      <w:r w:rsidRPr="002B1197">
        <w:rPr>
          <w:rFonts w:asciiTheme="minorHAnsi" w:hAnsiTheme="minorHAnsi" w:cstheme="minorHAnsi"/>
          <w:bCs/>
          <w:sz w:val="22"/>
        </w:rPr>
        <w:t xml:space="preserve">For other absences such as long term sick or prolonged suspension we will follow the same principles </w:t>
      </w:r>
      <w:r w:rsidR="00ED2EA3">
        <w:rPr>
          <w:rFonts w:asciiTheme="minorHAnsi" w:hAnsiTheme="minorHAnsi" w:cstheme="minorHAnsi"/>
          <w:bCs/>
          <w:sz w:val="22"/>
        </w:rPr>
        <w:t xml:space="preserve">as </w:t>
      </w:r>
      <w:r w:rsidRPr="002B1197">
        <w:rPr>
          <w:rFonts w:asciiTheme="minorHAnsi" w:hAnsiTheme="minorHAnsi" w:cstheme="minorHAnsi"/>
          <w:bCs/>
          <w:sz w:val="22"/>
        </w:rPr>
        <w:t>in this section.</w:t>
      </w:r>
    </w:p>
    <w:p w14:paraId="3A1F0C12" w14:textId="77777777" w:rsidR="002B1197" w:rsidRPr="002B1197" w:rsidRDefault="002B1197" w:rsidP="00C07F52">
      <w:pPr>
        <w:spacing w:after="0" w:line="240" w:lineRule="auto"/>
        <w:jc w:val="both"/>
        <w:rPr>
          <w:rFonts w:cstheme="minorHAnsi"/>
          <w:bCs/>
        </w:rPr>
      </w:pPr>
    </w:p>
    <w:p w14:paraId="541EDAF7" w14:textId="38905878" w:rsidR="002B1197" w:rsidRPr="002B1197" w:rsidRDefault="00C07F52" w:rsidP="00C07F52">
      <w:pPr>
        <w:pStyle w:val="Alphabet1"/>
        <w:numPr>
          <w:ilvl w:val="0"/>
          <w:numId w:val="0"/>
        </w:numPr>
        <w:spacing w:after="0" w:line="240" w:lineRule="auto"/>
        <w:jc w:val="both"/>
        <w:rPr>
          <w:rFonts w:asciiTheme="minorHAnsi" w:hAnsiTheme="minorHAnsi" w:cstheme="minorHAnsi"/>
          <w:b/>
          <w:bCs/>
          <w:sz w:val="22"/>
        </w:rPr>
      </w:pPr>
      <w:r w:rsidRPr="002B1197">
        <w:rPr>
          <w:rFonts w:asciiTheme="minorHAnsi" w:hAnsiTheme="minorHAnsi" w:cstheme="minorHAnsi"/>
          <w:b/>
          <w:bCs/>
          <w:sz w:val="22"/>
        </w:rPr>
        <w:t>Monitoring</w:t>
      </w:r>
    </w:p>
    <w:p w14:paraId="3EC31A0F" w14:textId="77777777" w:rsidR="002B1197" w:rsidRPr="002B1197" w:rsidRDefault="00ED2EA3" w:rsidP="00C07F52">
      <w:pPr>
        <w:pStyle w:val="Default"/>
        <w:tabs>
          <w:tab w:val="left" w:pos="851"/>
        </w:tabs>
        <w:jc w:val="both"/>
        <w:rPr>
          <w:rFonts w:asciiTheme="minorHAnsi" w:hAnsiTheme="minorHAnsi" w:cstheme="minorHAnsi"/>
          <w:color w:val="auto"/>
          <w:sz w:val="22"/>
          <w:szCs w:val="22"/>
        </w:rPr>
      </w:pPr>
      <w:hyperlink r:id="rId5" w:history="1">
        <w:r w:rsidR="002B1197" w:rsidRPr="002B1197">
          <w:rPr>
            <w:rStyle w:val="Hyperlink"/>
            <w:rFonts w:asciiTheme="minorHAnsi" w:hAnsiTheme="minorHAnsi" w:cstheme="minorHAnsi"/>
            <w:sz w:val="22"/>
            <w:szCs w:val="22"/>
          </w:rPr>
          <w:t>https://www.gov.uk/government/publications/school-inspection-handbook</w:t>
        </w:r>
      </w:hyperlink>
      <w:r w:rsidR="002B1197" w:rsidRPr="002B1197">
        <w:rPr>
          <w:rFonts w:asciiTheme="minorHAnsi" w:hAnsiTheme="minorHAnsi" w:cstheme="minorHAnsi"/>
          <w:color w:val="auto"/>
          <w:sz w:val="22"/>
          <w:szCs w:val="22"/>
        </w:rPr>
        <w:t xml:space="preserve"> </w:t>
      </w:r>
    </w:p>
    <w:p w14:paraId="2B4BA68A" w14:textId="77777777" w:rsidR="00C07F52" w:rsidRDefault="00C07F52" w:rsidP="00C07F52">
      <w:pPr>
        <w:pStyle w:val="ListParagraph"/>
        <w:spacing w:after="0" w:line="240" w:lineRule="auto"/>
        <w:ind w:left="0"/>
        <w:jc w:val="both"/>
        <w:rPr>
          <w:rFonts w:cstheme="minorHAnsi"/>
          <w:b/>
          <w:bCs/>
        </w:rPr>
      </w:pPr>
    </w:p>
    <w:p w14:paraId="65EA7933" w14:textId="150D3A2B" w:rsidR="002B1197" w:rsidRPr="002B1197" w:rsidRDefault="00C07F52" w:rsidP="00C07F52">
      <w:pPr>
        <w:pStyle w:val="ListParagraph"/>
        <w:spacing w:after="0" w:line="240" w:lineRule="auto"/>
        <w:ind w:left="0"/>
        <w:jc w:val="both"/>
        <w:rPr>
          <w:rFonts w:cstheme="minorHAnsi"/>
          <w:b/>
          <w:bCs/>
        </w:rPr>
      </w:pPr>
      <w:r w:rsidRPr="002B1197">
        <w:rPr>
          <w:rFonts w:cstheme="minorHAnsi"/>
          <w:b/>
          <w:bCs/>
        </w:rPr>
        <w:t>Safeguarding</w:t>
      </w:r>
    </w:p>
    <w:p w14:paraId="6F3875D6" w14:textId="77777777" w:rsidR="002B1197" w:rsidRPr="002B1197" w:rsidRDefault="002B1197" w:rsidP="00C07F52">
      <w:pPr>
        <w:spacing w:after="0" w:line="240" w:lineRule="auto"/>
        <w:jc w:val="both"/>
        <w:rPr>
          <w:rFonts w:cstheme="minorHAnsi"/>
        </w:rPr>
      </w:pPr>
    </w:p>
    <w:p w14:paraId="640D8A8D" w14:textId="5BF0BDEC" w:rsidR="002B1197" w:rsidRPr="002B1197" w:rsidRDefault="002B1197" w:rsidP="00C07F52">
      <w:pPr>
        <w:spacing w:after="0" w:line="240" w:lineRule="auto"/>
        <w:jc w:val="both"/>
        <w:rPr>
          <w:rFonts w:cstheme="minorHAnsi"/>
          <w:bCs/>
        </w:rPr>
      </w:pPr>
      <w:r w:rsidRPr="002B1197">
        <w:rPr>
          <w:rFonts w:cstheme="minorHAnsi"/>
        </w:rPr>
        <w:t>We will follow the requirements of STPCD 202</w:t>
      </w:r>
      <w:r w:rsidR="00C07F52">
        <w:rPr>
          <w:rFonts w:cstheme="minorHAnsi"/>
        </w:rPr>
        <w:t>1</w:t>
      </w:r>
      <w:r w:rsidRPr="002B1197">
        <w:rPr>
          <w:rFonts w:cstheme="minorHAnsi"/>
        </w:rPr>
        <w:t xml:space="preserve"> in relation to the safeguarding of teachers’ salaries, </w:t>
      </w:r>
      <w:proofErr w:type="gramStart"/>
      <w:r w:rsidRPr="002B1197">
        <w:rPr>
          <w:rFonts w:cstheme="minorHAnsi"/>
        </w:rPr>
        <w:t>taking into account</w:t>
      </w:r>
      <w:proofErr w:type="gramEnd"/>
      <w:r w:rsidRPr="002B1197">
        <w:rPr>
          <w:rFonts w:cstheme="minorHAnsi"/>
        </w:rPr>
        <w:t xml:space="preserve"> </w:t>
      </w:r>
      <w:r w:rsidR="00C07F52">
        <w:rPr>
          <w:rFonts w:cstheme="minorHAnsi"/>
        </w:rPr>
        <w:t>the relevant sections</w:t>
      </w:r>
      <w:r w:rsidRPr="002B1197">
        <w:rPr>
          <w:rFonts w:cstheme="minorHAnsi"/>
        </w:rPr>
        <w:t xml:space="preserve"> of this document.</w:t>
      </w:r>
    </w:p>
    <w:p w14:paraId="7349F387" w14:textId="42F3F895" w:rsidR="002B1197" w:rsidRDefault="002B1197" w:rsidP="00C07F52">
      <w:pPr>
        <w:spacing w:after="0" w:line="240" w:lineRule="auto"/>
        <w:rPr>
          <w:rFonts w:cstheme="minorHAnsi"/>
        </w:rPr>
      </w:pPr>
    </w:p>
    <w:p w14:paraId="5B8656EE" w14:textId="77777777" w:rsidR="00C07F52" w:rsidRDefault="00C07F52" w:rsidP="00C07F52">
      <w:pPr>
        <w:spacing w:after="0" w:line="240" w:lineRule="auto"/>
        <w:rPr>
          <w:rFonts w:cstheme="minorHAnsi"/>
        </w:rPr>
      </w:pPr>
    </w:p>
    <w:p w14:paraId="674447BB" w14:textId="77777777" w:rsidR="00C07F52" w:rsidRDefault="00C07F52" w:rsidP="00C07F52">
      <w:pPr>
        <w:spacing w:after="0" w:line="240" w:lineRule="auto"/>
        <w:rPr>
          <w:rFonts w:cstheme="minorHAnsi"/>
        </w:rPr>
      </w:pPr>
    </w:p>
    <w:p w14:paraId="050C6717" w14:textId="77777777" w:rsidR="00C07F52" w:rsidRDefault="00C07F52" w:rsidP="00C07F52">
      <w:pPr>
        <w:spacing w:after="0" w:line="240" w:lineRule="auto"/>
        <w:rPr>
          <w:rFonts w:cstheme="minorHAnsi"/>
        </w:rPr>
      </w:pPr>
    </w:p>
    <w:p w14:paraId="4D922A13" w14:textId="77777777" w:rsidR="00C07F52" w:rsidRDefault="00C07F52" w:rsidP="00C07F52">
      <w:pPr>
        <w:spacing w:after="0" w:line="240" w:lineRule="auto"/>
        <w:rPr>
          <w:rFonts w:cstheme="minorHAnsi"/>
        </w:rPr>
      </w:pPr>
    </w:p>
    <w:p w14:paraId="6E07AC6C" w14:textId="77777777" w:rsidR="00C07F52" w:rsidRDefault="00C07F52" w:rsidP="00C07F52">
      <w:pPr>
        <w:spacing w:after="0" w:line="240" w:lineRule="auto"/>
        <w:rPr>
          <w:rFonts w:cstheme="minorHAnsi"/>
        </w:rPr>
      </w:pPr>
    </w:p>
    <w:p w14:paraId="28F658FE" w14:textId="77777777" w:rsidR="00C07F52" w:rsidRDefault="00C07F52" w:rsidP="00C07F52">
      <w:pPr>
        <w:spacing w:after="0" w:line="240" w:lineRule="auto"/>
        <w:rPr>
          <w:rFonts w:cstheme="minorHAnsi"/>
        </w:rPr>
      </w:pPr>
    </w:p>
    <w:p w14:paraId="38200D34" w14:textId="77777777" w:rsidR="00C07F52" w:rsidRDefault="00C07F52" w:rsidP="00C07F52">
      <w:pPr>
        <w:spacing w:after="0" w:line="240" w:lineRule="auto"/>
        <w:rPr>
          <w:rFonts w:cstheme="minorHAnsi"/>
        </w:rPr>
      </w:pPr>
    </w:p>
    <w:p w14:paraId="6FFFFDE3" w14:textId="77777777" w:rsidR="00C07F52" w:rsidRDefault="00C07F52" w:rsidP="00C07F52">
      <w:pPr>
        <w:spacing w:after="0" w:line="240" w:lineRule="auto"/>
        <w:rPr>
          <w:rFonts w:cstheme="minorHAnsi"/>
        </w:rPr>
      </w:pPr>
    </w:p>
    <w:p w14:paraId="250FBCAA" w14:textId="77777777" w:rsidR="00C07F52" w:rsidRDefault="00C07F52" w:rsidP="00C07F52">
      <w:pPr>
        <w:spacing w:after="0" w:line="240" w:lineRule="auto"/>
        <w:rPr>
          <w:rFonts w:cstheme="minorHAnsi"/>
        </w:rPr>
      </w:pPr>
    </w:p>
    <w:p w14:paraId="1E2D5FF2" w14:textId="77777777" w:rsidR="00C07F52" w:rsidRDefault="00C07F52" w:rsidP="00C07F52">
      <w:pPr>
        <w:spacing w:after="0" w:line="240" w:lineRule="auto"/>
        <w:rPr>
          <w:rFonts w:cstheme="minorHAnsi"/>
        </w:rPr>
      </w:pPr>
    </w:p>
    <w:p w14:paraId="53A270DE" w14:textId="77777777" w:rsidR="00C07F52" w:rsidRDefault="00C07F52" w:rsidP="00C07F52">
      <w:pPr>
        <w:spacing w:after="0" w:line="240" w:lineRule="auto"/>
        <w:rPr>
          <w:rFonts w:cstheme="minorHAnsi"/>
        </w:rPr>
      </w:pPr>
    </w:p>
    <w:p w14:paraId="7CF86746" w14:textId="77777777" w:rsidR="00C07F52" w:rsidRDefault="00C07F52" w:rsidP="00C07F52">
      <w:pPr>
        <w:spacing w:after="0" w:line="240" w:lineRule="auto"/>
        <w:rPr>
          <w:rFonts w:cstheme="minorHAnsi"/>
        </w:rPr>
      </w:pPr>
    </w:p>
    <w:p w14:paraId="4AB147A3" w14:textId="77777777" w:rsidR="00C07F52" w:rsidRDefault="00C07F52" w:rsidP="00C07F52">
      <w:pPr>
        <w:spacing w:after="0" w:line="240" w:lineRule="auto"/>
        <w:rPr>
          <w:rFonts w:cstheme="minorHAnsi"/>
        </w:rPr>
      </w:pPr>
    </w:p>
    <w:p w14:paraId="7F271B9C" w14:textId="77777777" w:rsidR="00C07F52" w:rsidRDefault="00C07F52" w:rsidP="00C07F52">
      <w:pPr>
        <w:spacing w:after="0" w:line="240" w:lineRule="auto"/>
        <w:rPr>
          <w:rFonts w:cstheme="minorHAnsi"/>
        </w:rPr>
      </w:pPr>
    </w:p>
    <w:p w14:paraId="3573EB21" w14:textId="77777777" w:rsidR="00C07F52" w:rsidRDefault="00C07F52" w:rsidP="00C07F52">
      <w:pPr>
        <w:spacing w:after="0" w:line="240" w:lineRule="auto"/>
        <w:rPr>
          <w:rFonts w:cstheme="minorHAnsi"/>
        </w:rPr>
      </w:pPr>
    </w:p>
    <w:p w14:paraId="736519EC" w14:textId="77777777" w:rsidR="00C07F52" w:rsidRDefault="00C07F52" w:rsidP="00C07F52">
      <w:pPr>
        <w:spacing w:after="0" w:line="240" w:lineRule="auto"/>
        <w:rPr>
          <w:rFonts w:cstheme="minorHAnsi"/>
        </w:rPr>
      </w:pPr>
    </w:p>
    <w:p w14:paraId="0C132DA2" w14:textId="77777777" w:rsidR="00C07F52" w:rsidRDefault="00C07F52" w:rsidP="00C07F52">
      <w:pPr>
        <w:spacing w:after="0" w:line="240" w:lineRule="auto"/>
        <w:rPr>
          <w:rFonts w:cstheme="minorHAnsi"/>
        </w:rPr>
      </w:pPr>
    </w:p>
    <w:p w14:paraId="2C362051" w14:textId="77777777" w:rsidR="00C07F52" w:rsidRDefault="00C07F52" w:rsidP="00C07F52">
      <w:pPr>
        <w:spacing w:after="0" w:line="240" w:lineRule="auto"/>
        <w:rPr>
          <w:rFonts w:cstheme="minorHAnsi"/>
        </w:rPr>
      </w:pPr>
    </w:p>
    <w:p w14:paraId="32BE838F" w14:textId="77777777" w:rsidR="00C07F52" w:rsidRDefault="00C07F52" w:rsidP="00C07F52">
      <w:pPr>
        <w:spacing w:after="0" w:line="240" w:lineRule="auto"/>
        <w:rPr>
          <w:rFonts w:cstheme="minorHAnsi"/>
        </w:rPr>
      </w:pPr>
    </w:p>
    <w:p w14:paraId="48E4D803" w14:textId="77777777" w:rsidR="00C07F52" w:rsidRDefault="00C07F52" w:rsidP="00C07F52">
      <w:pPr>
        <w:spacing w:after="0" w:line="240" w:lineRule="auto"/>
        <w:rPr>
          <w:rFonts w:cstheme="minorHAnsi"/>
        </w:rPr>
      </w:pPr>
    </w:p>
    <w:p w14:paraId="3E4A9D74" w14:textId="77777777" w:rsidR="00C07F52" w:rsidRDefault="00C07F52" w:rsidP="00C07F52">
      <w:pPr>
        <w:spacing w:after="0" w:line="240" w:lineRule="auto"/>
        <w:rPr>
          <w:rFonts w:cstheme="minorHAnsi"/>
        </w:rPr>
      </w:pPr>
    </w:p>
    <w:p w14:paraId="13BBBF5E" w14:textId="77777777" w:rsidR="00C07F52" w:rsidRDefault="00C07F52" w:rsidP="00C07F52">
      <w:pPr>
        <w:spacing w:after="0" w:line="240" w:lineRule="auto"/>
        <w:rPr>
          <w:rFonts w:cstheme="minorHAnsi"/>
        </w:rPr>
      </w:pPr>
    </w:p>
    <w:p w14:paraId="09A321FB" w14:textId="77777777" w:rsidR="00C07F52" w:rsidRDefault="00C07F52" w:rsidP="00C07F52">
      <w:pPr>
        <w:spacing w:after="0" w:line="240" w:lineRule="auto"/>
        <w:rPr>
          <w:rFonts w:cstheme="minorHAnsi"/>
        </w:rPr>
      </w:pPr>
    </w:p>
    <w:p w14:paraId="14A233DA" w14:textId="77777777" w:rsidR="00C07F52" w:rsidRDefault="00C07F52" w:rsidP="00C07F52">
      <w:pPr>
        <w:spacing w:after="0" w:line="240" w:lineRule="auto"/>
        <w:rPr>
          <w:rFonts w:cstheme="minorHAnsi"/>
        </w:rPr>
      </w:pPr>
    </w:p>
    <w:p w14:paraId="397987EC" w14:textId="77777777" w:rsidR="00C07F52" w:rsidRDefault="00C07F52" w:rsidP="00C07F52">
      <w:pPr>
        <w:spacing w:after="0" w:line="240" w:lineRule="auto"/>
        <w:rPr>
          <w:rFonts w:cstheme="minorHAnsi"/>
        </w:rPr>
      </w:pPr>
    </w:p>
    <w:p w14:paraId="32579C12" w14:textId="77777777" w:rsidR="00C07F52" w:rsidRDefault="00C07F52" w:rsidP="00C07F52">
      <w:pPr>
        <w:spacing w:after="0" w:line="240" w:lineRule="auto"/>
        <w:rPr>
          <w:rFonts w:cstheme="minorHAnsi"/>
        </w:rPr>
      </w:pPr>
    </w:p>
    <w:p w14:paraId="24944BBD" w14:textId="39AC0E75" w:rsidR="002B1197" w:rsidRPr="00C07F52" w:rsidRDefault="00C07F52" w:rsidP="00C07F52">
      <w:pPr>
        <w:spacing w:after="0" w:line="240" w:lineRule="auto"/>
        <w:rPr>
          <w:rFonts w:cstheme="minorHAnsi"/>
          <w:b/>
          <w:bCs/>
        </w:rPr>
      </w:pPr>
      <w:r w:rsidRPr="00C07F52">
        <w:rPr>
          <w:rFonts w:cstheme="minorHAnsi"/>
          <w:b/>
          <w:bCs/>
        </w:rPr>
        <w:t xml:space="preserve">Appendix 1 </w:t>
      </w:r>
      <w:proofErr w:type="gramStart"/>
      <w:r w:rsidRPr="00C07F52">
        <w:rPr>
          <w:rFonts w:cstheme="minorHAnsi"/>
          <w:b/>
          <w:bCs/>
        </w:rPr>
        <w:t>–  Delegation</w:t>
      </w:r>
      <w:proofErr w:type="gramEnd"/>
      <w:r w:rsidRPr="00C07F52">
        <w:rPr>
          <w:rFonts w:cstheme="minorHAnsi"/>
          <w:b/>
          <w:bCs/>
        </w:rPr>
        <w:t xml:space="preserve"> of Powers to the Pay Committee by the Governing Body</w:t>
      </w:r>
    </w:p>
    <w:p w14:paraId="020223CB" w14:textId="2723CFB4" w:rsidR="002B1197" w:rsidRDefault="002B1197" w:rsidP="00C07F52">
      <w:pPr>
        <w:spacing w:after="0" w:line="240" w:lineRule="auto"/>
        <w:rPr>
          <w:rFonts w:cstheme="minorHAnsi"/>
        </w:rPr>
      </w:pPr>
    </w:p>
    <w:p w14:paraId="371FA506" w14:textId="611AAD6D" w:rsidR="00C07F52" w:rsidRDefault="00C07F52" w:rsidP="00C07F52">
      <w:pPr>
        <w:spacing w:after="0" w:line="240" w:lineRule="auto"/>
        <w:rPr>
          <w:rFonts w:cstheme="minorHAnsi"/>
        </w:rPr>
      </w:pPr>
      <w:r>
        <w:rPr>
          <w:rFonts w:cstheme="minorHAnsi"/>
        </w:rPr>
        <w:t>[INSERT]</w:t>
      </w:r>
    </w:p>
    <w:p w14:paraId="577C1BEB" w14:textId="4F47E0BC" w:rsidR="00C07F52" w:rsidRDefault="00C07F52" w:rsidP="00C07F52">
      <w:pPr>
        <w:spacing w:after="0" w:line="240" w:lineRule="auto"/>
        <w:rPr>
          <w:rFonts w:cstheme="minorHAnsi"/>
        </w:rPr>
      </w:pPr>
    </w:p>
    <w:p w14:paraId="13856863" w14:textId="00025A83" w:rsidR="00C07F52" w:rsidRDefault="00C07F52" w:rsidP="00C07F52">
      <w:pPr>
        <w:spacing w:after="0" w:line="240" w:lineRule="auto"/>
        <w:rPr>
          <w:rFonts w:cstheme="minorHAnsi"/>
        </w:rPr>
      </w:pPr>
    </w:p>
    <w:p w14:paraId="7556FE12" w14:textId="255DF85F" w:rsidR="00C07F52" w:rsidRDefault="00C07F52" w:rsidP="00C07F52">
      <w:pPr>
        <w:spacing w:after="0" w:line="240" w:lineRule="auto"/>
        <w:rPr>
          <w:rFonts w:cstheme="minorHAnsi"/>
        </w:rPr>
      </w:pPr>
    </w:p>
    <w:p w14:paraId="210E1148" w14:textId="33B9B68C" w:rsidR="00C07F52" w:rsidRDefault="00C07F52" w:rsidP="00C07F52">
      <w:pPr>
        <w:spacing w:after="0" w:line="240" w:lineRule="auto"/>
        <w:rPr>
          <w:rFonts w:cstheme="minorHAnsi"/>
        </w:rPr>
      </w:pPr>
    </w:p>
    <w:p w14:paraId="769CE5F5" w14:textId="7C2EE4AE" w:rsidR="00C07F52" w:rsidRDefault="00C07F52" w:rsidP="00C07F52">
      <w:pPr>
        <w:spacing w:after="0" w:line="240" w:lineRule="auto"/>
        <w:rPr>
          <w:rFonts w:cstheme="minorHAnsi"/>
        </w:rPr>
      </w:pPr>
    </w:p>
    <w:p w14:paraId="2E07F101" w14:textId="01B58EB4" w:rsidR="00C07F52" w:rsidRDefault="00C07F52" w:rsidP="00C07F52">
      <w:pPr>
        <w:spacing w:after="0" w:line="240" w:lineRule="auto"/>
        <w:rPr>
          <w:rFonts w:cstheme="minorHAnsi"/>
        </w:rPr>
      </w:pPr>
    </w:p>
    <w:p w14:paraId="2D3052FA" w14:textId="31EC1485" w:rsidR="00C07F52" w:rsidRDefault="00C07F52" w:rsidP="00C07F52">
      <w:pPr>
        <w:spacing w:after="0" w:line="240" w:lineRule="auto"/>
        <w:rPr>
          <w:rFonts w:cstheme="minorHAnsi"/>
        </w:rPr>
      </w:pPr>
    </w:p>
    <w:p w14:paraId="48DBF8AD" w14:textId="39DFCDD4" w:rsidR="00C07F52" w:rsidRDefault="00C07F52" w:rsidP="00C07F52">
      <w:pPr>
        <w:spacing w:after="0" w:line="240" w:lineRule="auto"/>
        <w:rPr>
          <w:rFonts w:cstheme="minorHAnsi"/>
        </w:rPr>
      </w:pPr>
    </w:p>
    <w:p w14:paraId="59E814B5" w14:textId="376F43AA" w:rsidR="00C07F52" w:rsidRDefault="00C07F52" w:rsidP="00C07F52">
      <w:pPr>
        <w:spacing w:after="0" w:line="240" w:lineRule="auto"/>
        <w:rPr>
          <w:rFonts w:cstheme="minorHAnsi"/>
        </w:rPr>
      </w:pPr>
    </w:p>
    <w:p w14:paraId="4283976A" w14:textId="4D54A25C" w:rsidR="00C07F52" w:rsidRDefault="00C07F52" w:rsidP="00C07F52">
      <w:pPr>
        <w:spacing w:after="0" w:line="240" w:lineRule="auto"/>
        <w:rPr>
          <w:rFonts w:cstheme="minorHAnsi"/>
        </w:rPr>
      </w:pPr>
    </w:p>
    <w:p w14:paraId="42E58FFE" w14:textId="7BD1E4AD" w:rsidR="00C07F52" w:rsidRDefault="00C07F52" w:rsidP="00C07F52">
      <w:pPr>
        <w:spacing w:after="0" w:line="240" w:lineRule="auto"/>
        <w:rPr>
          <w:rFonts w:cstheme="minorHAnsi"/>
        </w:rPr>
      </w:pPr>
    </w:p>
    <w:p w14:paraId="3E3EC625" w14:textId="094458AE" w:rsidR="00C07F52" w:rsidRDefault="00C07F52" w:rsidP="00C07F52">
      <w:pPr>
        <w:spacing w:after="0" w:line="240" w:lineRule="auto"/>
        <w:rPr>
          <w:rFonts w:cstheme="minorHAnsi"/>
        </w:rPr>
      </w:pPr>
    </w:p>
    <w:p w14:paraId="1E0AB985" w14:textId="1C7BE089" w:rsidR="00C07F52" w:rsidRDefault="00C07F52" w:rsidP="00C07F52">
      <w:pPr>
        <w:spacing w:after="0" w:line="240" w:lineRule="auto"/>
        <w:rPr>
          <w:rFonts w:cstheme="minorHAnsi"/>
        </w:rPr>
      </w:pPr>
    </w:p>
    <w:p w14:paraId="5761AA9B" w14:textId="58DAD70C" w:rsidR="00C07F52" w:rsidRDefault="00C07F52" w:rsidP="00C07F52">
      <w:pPr>
        <w:spacing w:after="0" w:line="240" w:lineRule="auto"/>
        <w:rPr>
          <w:rFonts w:cstheme="minorHAnsi"/>
        </w:rPr>
      </w:pPr>
    </w:p>
    <w:p w14:paraId="5E78BFEC" w14:textId="5967B566" w:rsidR="00C07F52" w:rsidRDefault="00C07F52" w:rsidP="00C07F52">
      <w:pPr>
        <w:spacing w:after="0" w:line="240" w:lineRule="auto"/>
        <w:rPr>
          <w:rFonts w:cstheme="minorHAnsi"/>
        </w:rPr>
      </w:pPr>
    </w:p>
    <w:p w14:paraId="7AA6DCC6" w14:textId="6E708626" w:rsidR="00C07F52" w:rsidRDefault="00C07F52" w:rsidP="00C07F52">
      <w:pPr>
        <w:spacing w:after="0" w:line="240" w:lineRule="auto"/>
        <w:rPr>
          <w:rFonts w:cstheme="minorHAnsi"/>
        </w:rPr>
      </w:pPr>
    </w:p>
    <w:p w14:paraId="6DD74122" w14:textId="75EAB3C1" w:rsidR="00C07F52" w:rsidRDefault="00C07F52" w:rsidP="00C07F52">
      <w:pPr>
        <w:spacing w:after="0" w:line="240" w:lineRule="auto"/>
        <w:rPr>
          <w:rFonts w:cstheme="minorHAnsi"/>
        </w:rPr>
      </w:pPr>
    </w:p>
    <w:p w14:paraId="47FEDD70" w14:textId="1781E1F0" w:rsidR="00C07F52" w:rsidRDefault="00C07F52" w:rsidP="00C07F52">
      <w:pPr>
        <w:spacing w:after="0" w:line="240" w:lineRule="auto"/>
        <w:rPr>
          <w:rFonts w:cstheme="minorHAnsi"/>
        </w:rPr>
      </w:pPr>
    </w:p>
    <w:p w14:paraId="6CC57C44" w14:textId="6F3D32DD" w:rsidR="00C07F52" w:rsidRDefault="00C07F52" w:rsidP="00C07F52">
      <w:pPr>
        <w:spacing w:after="0" w:line="240" w:lineRule="auto"/>
        <w:rPr>
          <w:rFonts w:cstheme="minorHAnsi"/>
        </w:rPr>
      </w:pPr>
    </w:p>
    <w:p w14:paraId="19D5335C" w14:textId="232019A1" w:rsidR="00C07F52" w:rsidRDefault="00C07F52" w:rsidP="00C07F52">
      <w:pPr>
        <w:spacing w:after="0" w:line="240" w:lineRule="auto"/>
        <w:rPr>
          <w:rFonts w:cstheme="minorHAnsi"/>
        </w:rPr>
      </w:pPr>
    </w:p>
    <w:p w14:paraId="2183FAB9" w14:textId="5F365EC0" w:rsidR="00C07F52" w:rsidRDefault="00C07F52" w:rsidP="00C07F52">
      <w:pPr>
        <w:spacing w:after="0" w:line="240" w:lineRule="auto"/>
        <w:rPr>
          <w:rFonts w:cstheme="minorHAnsi"/>
        </w:rPr>
      </w:pPr>
    </w:p>
    <w:p w14:paraId="43DDD9E5" w14:textId="30FD007B" w:rsidR="00C07F52" w:rsidRDefault="00C07F52" w:rsidP="00C07F52">
      <w:pPr>
        <w:spacing w:after="0" w:line="240" w:lineRule="auto"/>
        <w:rPr>
          <w:rFonts w:cstheme="minorHAnsi"/>
        </w:rPr>
      </w:pPr>
    </w:p>
    <w:p w14:paraId="750843CD" w14:textId="591DF67F" w:rsidR="00C07F52" w:rsidRDefault="00C07F52" w:rsidP="00C07F52">
      <w:pPr>
        <w:spacing w:after="0" w:line="240" w:lineRule="auto"/>
        <w:rPr>
          <w:rFonts w:cstheme="minorHAnsi"/>
        </w:rPr>
      </w:pPr>
    </w:p>
    <w:p w14:paraId="6D865D0C" w14:textId="56AC7950" w:rsidR="00C07F52" w:rsidRDefault="00C07F52" w:rsidP="00C07F52">
      <w:pPr>
        <w:spacing w:after="0" w:line="240" w:lineRule="auto"/>
        <w:rPr>
          <w:rFonts w:cstheme="minorHAnsi"/>
        </w:rPr>
      </w:pPr>
    </w:p>
    <w:p w14:paraId="31B6D7E4" w14:textId="4E8519E6" w:rsidR="00C07F52" w:rsidRDefault="00C07F52" w:rsidP="00C07F52">
      <w:pPr>
        <w:spacing w:after="0" w:line="240" w:lineRule="auto"/>
        <w:rPr>
          <w:rFonts w:cstheme="minorHAnsi"/>
        </w:rPr>
      </w:pPr>
    </w:p>
    <w:p w14:paraId="633F5EC0" w14:textId="1122CF8F" w:rsidR="00C07F52" w:rsidRDefault="00C07F52" w:rsidP="00C07F52">
      <w:pPr>
        <w:spacing w:after="0" w:line="240" w:lineRule="auto"/>
        <w:rPr>
          <w:rFonts w:cstheme="minorHAnsi"/>
        </w:rPr>
      </w:pPr>
    </w:p>
    <w:p w14:paraId="7F815253" w14:textId="1F402EE5" w:rsidR="00C07F52" w:rsidRDefault="00C07F52" w:rsidP="00C07F52">
      <w:pPr>
        <w:spacing w:after="0" w:line="240" w:lineRule="auto"/>
        <w:rPr>
          <w:rFonts w:cstheme="minorHAnsi"/>
        </w:rPr>
      </w:pPr>
    </w:p>
    <w:p w14:paraId="7C53BAAA" w14:textId="332D03CB" w:rsidR="00C07F52" w:rsidRDefault="00C07F52" w:rsidP="00C07F52">
      <w:pPr>
        <w:spacing w:after="0" w:line="240" w:lineRule="auto"/>
        <w:rPr>
          <w:rFonts w:cstheme="minorHAnsi"/>
        </w:rPr>
      </w:pPr>
    </w:p>
    <w:p w14:paraId="60F75C49" w14:textId="0C9C38AF" w:rsidR="00C07F52" w:rsidRDefault="00C07F52" w:rsidP="00C07F52">
      <w:pPr>
        <w:spacing w:after="0" w:line="240" w:lineRule="auto"/>
        <w:rPr>
          <w:rFonts w:cstheme="minorHAnsi"/>
        </w:rPr>
      </w:pPr>
    </w:p>
    <w:p w14:paraId="60375515" w14:textId="45C7F9B8" w:rsidR="00C07F52" w:rsidRDefault="00C07F52" w:rsidP="00C07F52">
      <w:pPr>
        <w:spacing w:after="0" w:line="240" w:lineRule="auto"/>
        <w:rPr>
          <w:rFonts w:cstheme="minorHAnsi"/>
        </w:rPr>
      </w:pPr>
    </w:p>
    <w:p w14:paraId="23C3E1AF" w14:textId="2CB5C83F" w:rsidR="00C07F52" w:rsidRDefault="00C07F52" w:rsidP="00C07F52">
      <w:pPr>
        <w:spacing w:after="0" w:line="240" w:lineRule="auto"/>
        <w:rPr>
          <w:rFonts w:cstheme="minorHAnsi"/>
        </w:rPr>
      </w:pPr>
    </w:p>
    <w:p w14:paraId="54CFF246" w14:textId="488E5C05" w:rsidR="00C07F52" w:rsidRDefault="00C07F52" w:rsidP="00C07F52">
      <w:pPr>
        <w:spacing w:after="0" w:line="240" w:lineRule="auto"/>
        <w:rPr>
          <w:rFonts w:cstheme="minorHAnsi"/>
        </w:rPr>
      </w:pPr>
    </w:p>
    <w:p w14:paraId="186CF792" w14:textId="27626805" w:rsidR="00C07F52" w:rsidRDefault="00C07F52" w:rsidP="00C07F52">
      <w:pPr>
        <w:spacing w:after="0" w:line="240" w:lineRule="auto"/>
        <w:rPr>
          <w:rFonts w:cstheme="minorHAnsi"/>
        </w:rPr>
      </w:pPr>
    </w:p>
    <w:p w14:paraId="053D4257" w14:textId="1A26B1C4" w:rsidR="00C07F52" w:rsidRDefault="00C07F52" w:rsidP="00C07F52">
      <w:pPr>
        <w:spacing w:after="0" w:line="240" w:lineRule="auto"/>
        <w:rPr>
          <w:rFonts w:cstheme="minorHAnsi"/>
        </w:rPr>
      </w:pPr>
    </w:p>
    <w:p w14:paraId="597E5B7B" w14:textId="5F886F20" w:rsidR="00C07F52" w:rsidRDefault="00C07F52" w:rsidP="00C07F52">
      <w:pPr>
        <w:spacing w:after="0" w:line="240" w:lineRule="auto"/>
        <w:rPr>
          <w:rFonts w:cstheme="minorHAnsi"/>
        </w:rPr>
      </w:pPr>
    </w:p>
    <w:p w14:paraId="101BF89E" w14:textId="1C1D7EA5" w:rsidR="00C07F52" w:rsidRDefault="00C07F52" w:rsidP="00C07F52">
      <w:pPr>
        <w:spacing w:after="0" w:line="240" w:lineRule="auto"/>
        <w:rPr>
          <w:rFonts w:cstheme="minorHAnsi"/>
        </w:rPr>
      </w:pPr>
    </w:p>
    <w:p w14:paraId="32905117" w14:textId="6583AE54" w:rsidR="00C07F52" w:rsidRDefault="00C07F52" w:rsidP="00C07F52">
      <w:pPr>
        <w:spacing w:after="0" w:line="240" w:lineRule="auto"/>
        <w:rPr>
          <w:rFonts w:cstheme="minorHAnsi"/>
        </w:rPr>
      </w:pPr>
    </w:p>
    <w:p w14:paraId="07C3B798" w14:textId="7A66E4FB" w:rsidR="00C07F52" w:rsidRDefault="00C07F52" w:rsidP="00C07F52">
      <w:pPr>
        <w:spacing w:after="0" w:line="240" w:lineRule="auto"/>
        <w:rPr>
          <w:rFonts w:cstheme="minorHAnsi"/>
        </w:rPr>
      </w:pPr>
    </w:p>
    <w:p w14:paraId="586B7C2D" w14:textId="2E87A217" w:rsidR="00C07F52" w:rsidRDefault="00C07F52" w:rsidP="00C07F52">
      <w:pPr>
        <w:spacing w:after="0" w:line="240" w:lineRule="auto"/>
        <w:rPr>
          <w:rFonts w:cstheme="minorHAnsi"/>
        </w:rPr>
      </w:pPr>
    </w:p>
    <w:p w14:paraId="24621ABC" w14:textId="62A8519F" w:rsidR="00C07F52" w:rsidRDefault="00C07F52" w:rsidP="00C07F52">
      <w:pPr>
        <w:spacing w:after="0" w:line="240" w:lineRule="auto"/>
        <w:rPr>
          <w:rFonts w:cstheme="minorHAnsi"/>
        </w:rPr>
      </w:pPr>
    </w:p>
    <w:p w14:paraId="6E502ADC" w14:textId="14891B8E" w:rsidR="00C07F52" w:rsidRDefault="00C07F52" w:rsidP="00C07F52">
      <w:pPr>
        <w:spacing w:after="0" w:line="240" w:lineRule="auto"/>
        <w:rPr>
          <w:rFonts w:cstheme="minorHAnsi"/>
        </w:rPr>
      </w:pPr>
    </w:p>
    <w:p w14:paraId="6AF2E422" w14:textId="0326EC7C" w:rsidR="00C07F52" w:rsidRDefault="00C07F52" w:rsidP="00C07F52">
      <w:pPr>
        <w:spacing w:after="0" w:line="240" w:lineRule="auto"/>
        <w:rPr>
          <w:rFonts w:cstheme="minorHAnsi"/>
        </w:rPr>
      </w:pPr>
    </w:p>
    <w:p w14:paraId="074AF58A" w14:textId="61BA7438" w:rsidR="00C07F52" w:rsidRDefault="00C07F52" w:rsidP="00C07F52">
      <w:pPr>
        <w:spacing w:after="0" w:line="240" w:lineRule="auto"/>
        <w:rPr>
          <w:rFonts w:cstheme="minorHAnsi"/>
        </w:rPr>
      </w:pPr>
    </w:p>
    <w:p w14:paraId="490964F2" w14:textId="087275F4" w:rsidR="00C07F52" w:rsidRDefault="00C07F52" w:rsidP="00C07F52">
      <w:pPr>
        <w:spacing w:after="0" w:line="240" w:lineRule="auto"/>
        <w:rPr>
          <w:rFonts w:cstheme="minorHAnsi"/>
        </w:rPr>
      </w:pPr>
    </w:p>
    <w:p w14:paraId="2A23C38B" w14:textId="39118449" w:rsidR="00C07F52" w:rsidRDefault="00C07F52" w:rsidP="00C07F52">
      <w:pPr>
        <w:spacing w:after="0" w:line="240" w:lineRule="auto"/>
        <w:rPr>
          <w:rFonts w:cstheme="minorHAnsi"/>
        </w:rPr>
      </w:pPr>
    </w:p>
    <w:p w14:paraId="700CC7B9" w14:textId="3556F0EE" w:rsidR="00C07F52" w:rsidRDefault="00C07F52" w:rsidP="00C07F52">
      <w:pPr>
        <w:spacing w:after="0" w:line="240" w:lineRule="auto"/>
        <w:rPr>
          <w:rFonts w:cstheme="minorHAnsi"/>
        </w:rPr>
      </w:pPr>
    </w:p>
    <w:p w14:paraId="6365A384" w14:textId="4D3EDC9D" w:rsidR="00C07F52" w:rsidRDefault="00C07F52" w:rsidP="00C07F52">
      <w:pPr>
        <w:spacing w:after="0" w:line="240" w:lineRule="auto"/>
        <w:rPr>
          <w:rFonts w:cstheme="minorHAnsi"/>
        </w:rPr>
      </w:pPr>
    </w:p>
    <w:p w14:paraId="5919112A" w14:textId="31B46BF3" w:rsidR="00C07F52" w:rsidRDefault="00C07F52" w:rsidP="00C07F52">
      <w:pPr>
        <w:spacing w:after="0" w:line="240" w:lineRule="auto"/>
        <w:rPr>
          <w:rFonts w:cstheme="minorHAnsi"/>
        </w:rPr>
      </w:pPr>
    </w:p>
    <w:p w14:paraId="719E0E22" w14:textId="2C932CBF" w:rsidR="00C07F52" w:rsidRPr="00C07F52" w:rsidRDefault="00C07F52" w:rsidP="00C07F52">
      <w:pPr>
        <w:spacing w:after="0" w:line="240" w:lineRule="auto"/>
        <w:rPr>
          <w:rFonts w:cstheme="minorHAnsi"/>
          <w:b/>
          <w:bCs/>
        </w:rPr>
      </w:pPr>
      <w:r>
        <w:rPr>
          <w:rFonts w:cstheme="minorHAnsi"/>
          <w:b/>
          <w:bCs/>
        </w:rPr>
        <w:t>Appendix 2 – Leadership Pay</w:t>
      </w:r>
      <w:r w:rsidR="00311CBD">
        <w:rPr>
          <w:rFonts w:cstheme="minorHAnsi"/>
          <w:b/>
          <w:bCs/>
        </w:rPr>
        <w:t xml:space="preserve"> Ranges &amp;</w:t>
      </w:r>
      <w:r>
        <w:rPr>
          <w:rFonts w:cstheme="minorHAnsi"/>
          <w:b/>
          <w:bCs/>
        </w:rPr>
        <w:t xml:space="preserve"> Points</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546"/>
        <w:gridCol w:w="4819"/>
      </w:tblGrid>
      <w:tr w:rsidR="00311CBD" w:rsidRPr="00311CBD" w14:paraId="041D936B" w14:textId="77777777" w:rsidTr="00311CBD">
        <w:trPr>
          <w:trHeight w:hRule="exact" w:val="291"/>
        </w:trPr>
        <w:tc>
          <w:tcPr>
            <w:tcW w:w="2546" w:type="dxa"/>
            <w:tcBorders>
              <w:top w:val="single" w:sz="5" w:space="0" w:color="000000"/>
              <w:left w:val="single" w:sz="5" w:space="0" w:color="000000"/>
              <w:bottom w:val="single" w:sz="5" w:space="0" w:color="000000"/>
              <w:right w:val="single" w:sz="5" w:space="0" w:color="000000"/>
            </w:tcBorders>
            <w:shd w:val="clear" w:color="auto" w:fill="BEBEBE"/>
          </w:tcPr>
          <w:p w14:paraId="633132D2" w14:textId="1C6E318B" w:rsidR="00311CBD" w:rsidRPr="00311CBD" w:rsidRDefault="00311CBD" w:rsidP="00311CBD">
            <w:pPr>
              <w:spacing w:after="0" w:line="240" w:lineRule="auto"/>
              <w:rPr>
                <w:rFonts w:cstheme="minorHAnsi"/>
              </w:rPr>
            </w:pPr>
            <w:r w:rsidRPr="00311CBD">
              <w:rPr>
                <w:rFonts w:cstheme="minorHAnsi"/>
              </w:rPr>
              <w:t xml:space="preserve">  School Group</w:t>
            </w:r>
            <w:r>
              <w:rPr>
                <w:rFonts w:cstheme="minorHAnsi"/>
              </w:rPr>
              <w:t xml:space="preserve"> </w:t>
            </w:r>
            <w:r w:rsidRPr="00311CBD">
              <w:rPr>
                <w:rFonts w:cstheme="minorHAnsi"/>
              </w:rPr>
              <w:t>Size</w:t>
            </w:r>
          </w:p>
        </w:tc>
        <w:tc>
          <w:tcPr>
            <w:tcW w:w="4819" w:type="dxa"/>
            <w:tcBorders>
              <w:top w:val="single" w:sz="5" w:space="0" w:color="000000"/>
              <w:left w:val="single" w:sz="5" w:space="0" w:color="000000"/>
              <w:bottom w:val="single" w:sz="5" w:space="0" w:color="000000"/>
              <w:right w:val="single" w:sz="5" w:space="0" w:color="000000"/>
            </w:tcBorders>
            <w:shd w:val="clear" w:color="auto" w:fill="BEBEBE"/>
          </w:tcPr>
          <w:p w14:paraId="607F0632" w14:textId="62410322" w:rsidR="00311CBD" w:rsidRPr="00311CBD" w:rsidRDefault="00311CBD" w:rsidP="00311CBD">
            <w:pPr>
              <w:spacing w:after="0" w:line="240" w:lineRule="auto"/>
              <w:rPr>
                <w:rFonts w:cstheme="minorHAnsi"/>
              </w:rPr>
            </w:pPr>
            <w:r w:rsidRPr="00311CBD">
              <w:rPr>
                <w:rFonts w:cstheme="minorHAnsi"/>
              </w:rPr>
              <w:t>Individual Salary</w:t>
            </w:r>
            <w:r>
              <w:rPr>
                <w:rFonts w:cstheme="minorHAnsi"/>
              </w:rPr>
              <w:t xml:space="preserve"> </w:t>
            </w:r>
            <w:r w:rsidRPr="00311CBD">
              <w:rPr>
                <w:rFonts w:cstheme="minorHAnsi"/>
              </w:rPr>
              <w:t>Range</w:t>
            </w:r>
          </w:p>
        </w:tc>
      </w:tr>
      <w:tr w:rsidR="00311CBD" w:rsidRPr="00311CBD" w14:paraId="48A0B5EA" w14:textId="77777777" w:rsidTr="00311CBD">
        <w:trPr>
          <w:trHeight w:hRule="exact" w:val="378"/>
        </w:trPr>
        <w:tc>
          <w:tcPr>
            <w:tcW w:w="2546" w:type="dxa"/>
            <w:tcBorders>
              <w:top w:val="single" w:sz="5" w:space="0" w:color="000000"/>
              <w:left w:val="single" w:sz="5" w:space="0" w:color="000000"/>
              <w:bottom w:val="single" w:sz="5" w:space="0" w:color="000000"/>
              <w:right w:val="single" w:sz="5" w:space="0" w:color="000000"/>
            </w:tcBorders>
          </w:tcPr>
          <w:p w14:paraId="7DAD2EE2" w14:textId="77777777" w:rsidR="00311CBD" w:rsidRPr="00311CBD" w:rsidRDefault="00311CBD" w:rsidP="00311CBD">
            <w:pPr>
              <w:spacing w:after="0" w:line="240" w:lineRule="auto"/>
              <w:rPr>
                <w:rFonts w:cstheme="minorHAnsi"/>
              </w:rPr>
            </w:pPr>
            <w:r w:rsidRPr="00311CBD">
              <w:rPr>
                <w:rFonts w:cstheme="minorHAnsi"/>
              </w:rPr>
              <w:t>Group 1</w:t>
            </w:r>
          </w:p>
        </w:tc>
        <w:tc>
          <w:tcPr>
            <w:tcW w:w="4819" w:type="dxa"/>
            <w:tcBorders>
              <w:top w:val="single" w:sz="5" w:space="0" w:color="000000"/>
              <w:left w:val="single" w:sz="5" w:space="0" w:color="000000"/>
              <w:bottom w:val="single" w:sz="5" w:space="0" w:color="000000"/>
              <w:right w:val="single" w:sz="5" w:space="0" w:color="000000"/>
            </w:tcBorders>
          </w:tcPr>
          <w:p w14:paraId="77EC8B16" w14:textId="77777777" w:rsidR="00311CBD" w:rsidRPr="00311CBD" w:rsidRDefault="00311CBD" w:rsidP="00311CBD">
            <w:pPr>
              <w:spacing w:after="0" w:line="240" w:lineRule="auto"/>
              <w:rPr>
                <w:rFonts w:cstheme="minorHAnsi"/>
              </w:rPr>
            </w:pPr>
            <w:r w:rsidRPr="00311CBD">
              <w:rPr>
                <w:rFonts w:cstheme="minorHAnsi"/>
              </w:rPr>
              <w:t>L6 – 18</w:t>
            </w:r>
          </w:p>
        </w:tc>
      </w:tr>
      <w:tr w:rsidR="00311CBD" w:rsidRPr="00311CBD" w14:paraId="77E3B3E1" w14:textId="77777777" w:rsidTr="00311CBD">
        <w:trPr>
          <w:trHeight w:hRule="exact" w:val="359"/>
        </w:trPr>
        <w:tc>
          <w:tcPr>
            <w:tcW w:w="2546" w:type="dxa"/>
            <w:tcBorders>
              <w:top w:val="single" w:sz="5" w:space="0" w:color="000000"/>
              <w:left w:val="single" w:sz="5" w:space="0" w:color="000000"/>
              <w:bottom w:val="single" w:sz="5" w:space="0" w:color="000000"/>
              <w:right w:val="single" w:sz="5" w:space="0" w:color="000000"/>
            </w:tcBorders>
            <w:shd w:val="clear" w:color="auto" w:fill="D9D9D9"/>
          </w:tcPr>
          <w:p w14:paraId="586FB3A3" w14:textId="77777777" w:rsidR="00311CBD" w:rsidRPr="00311CBD" w:rsidRDefault="00311CBD" w:rsidP="00311CBD">
            <w:pPr>
              <w:spacing w:after="0" w:line="240" w:lineRule="auto"/>
              <w:rPr>
                <w:rFonts w:cstheme="minorHAnsi"/>
              </w:rPr>
            </w:pPr>
            <w:r w:rsidRPr="00311CBD">
              <w:rPr>
                <w:rFonts w:cstheme="minorHAnsi"/>
              </w:rPr>
              <w:t>Group 2</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504B680E" w14:textId="77777777" w:rsidR="00311CBD" w:rsidRPr="00311CBD" w:rsidRDefault="00311CBD" w:rsidP="00311CBD">
            <w:pPr>
              <w:spacing w:after="0" w:line="240" w:lineRule="auto"/>
              <w:rPr>
                <w:rFonts w:cstheme="minorHAnsi"/>
              </w:rPr>
            </w:pPr>
            <w:r w:rsidRPr="00311CBD">
              <w:rPr>
                <w:rFonts w:cstheme="minorHAnsi"/>
              </w:rPr>
              <w:t>L8 – 21</w:t>
            </w:r>
          </w:p>
        </w:tc>
      </w:tr>
      <w:tr w:rsidR="00311CBD" w:rsidRPr="00311CBD" w14:paraId="0EFA973F" w14:textId="77777777" w:rsidTr="00311CBD">
        <w:trPr>
          <w:trHeight w:hRule="exact" w:val="376"/>
        </w:trPr>
        <w:tc>
          <w:tcPr>
            <w:tcW w:w="2546" w:type="dxa"/>
            <w:tcBorders>
              <w:top w:val="single" w:sz="5" w:space="0" w:color="000000"/>
              <w:left w:val="single" w:sz="5" w:space="0" w:color="000000"/>
              <w:bottom w:val="single" w:sz="5" w:space="0" w:color="000000"/>
              <w:right w:val="single" w:sz="5" w:space="0" w:color="000000"/>
            </w:tcBorders>
          </w:tcPr>
          <w:p w14:paraId="7578B3EC" w14:textId="77777777" w:rsidR="00311CBD" w:rsidRPr="00311CBD" w:rsidRDefault="00311CBD" w:rsidP="00311CBD">
            <w:pPr>
              <w:spacing w:after="0" w:line="240" w:lineRule="auto"/>
              <w:rPr>
                <w:rFonts w:cstheme="minorHAnsi"/>
              </w:rPr>
            </w:pPr>
            <w:r w:rsidRPr="00311CBD">
              <w:rPr>
                <w:rFonts w:cstheme="minorHAnsi"/>
              </w:rPr>
              <w:t>Group 3</w:t>
            </w:r>
          </w:p>
        </w:tc>
        <w:tc>
          <w:tcPr>
            <w:tcW w:w="4819" w:type="dxa"/>
            <w:tcBorders>
              <w:top w:val="single" w:sz="5" w:space="0" w:color="000000"/>
              <w:left w:val="single" w:sz="5" w:space="0" w:color="000000"/>
              <w:bottom w:val="single" w:sz="5" w:space="0" w:color="000000"/>
              <w:right w:val="single" w:sz="5" w:space="0" w:color="000000"/>
            </w:tcBorders>
          </w:tcPr>
          <w:p w14:paraId="329B683C" w14:textId="77777777" w:rsidR="00311CBD" w:rsidRPr="00311CBD" w:rsidRDefault="00311CBD" w:rsidP="00311CBD">
            <w:pPr>
              <w:spacing w:after="0" w:line="240" w:lineRule="auto"/>
              <w:rPr>
                <w:rFonts w:cstheme="minorHAnsi"/>
              </w:rPr>
            </w:pPr>
            <w:r w:rsidRPr="00311CBD">
              <w:rPr>
                <w:rFonts w:cstheme="minorHAnsi"/>
              </w:rPr>
              <w:t>L11 – 24</w:t>
            </w:r>
          </w:p>
        </w:tc>
      </w:tr>
      <w:tr w:rsidR="00311CBD" w:rsidRPr="00311CBD" w14:paraId="33BF9B13" w14:textId="77777777" w:rsidTr="00311CBD">
        <w:trPr>
          <w:trHeight w:hRule="exact" w:val="359"/>
        </w:trPr>
        <w:tc>
          <w:tcPr>
            <w:tcW w:w="2546" w:type="dxa"/>
            <w:tcBorders>
              <w:top w:val="single" w:sz="5" w:space="0" w:color="000000"/>
              <w:left w:val="single" w:sz="5" w:space="0" w:color="000000"/>
              <w:bottom w:val="single" w:sz="5" w:space="0" w:color="000000"/>
              <w:right w:val="single" w:sz="5" w:space="0" w:color="000000"/>
            </w:tcBorders>
            <w:shd w:val="clear" w:color="auto" w:fill="D9D9D9"/>
          </w:tcPr>
          <w:p w14:paraId="3E89105F" w14:textId="77777777" w:rsidR="00311CBD" w:rsidRPr="00311CBD" w:rsidRDefault="00311CBD" w:rsidP="00311CBD">
            <w:pPr>
              <w:spacing w:after="0" w:line="240" w:lineRule="auto"/>
              <w:rPr>
                <w:rFonts w:cstheme="minorHAnsi"/>
              </w:rPr>
            </w:pPr>
            <w:r w:rsidRPr="00311CBD">
              <w:rPr>
                <w:rFonts w:cstheme="minorHAnsi"/>
              </w:rPr>
              <w:t>Group 4</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2B45E71A" w14:textId="77777777" w:rsidR="00311CBD" w:rsidRPr="00311CBD" w:rsidRDefault="00311CBD" w:rsidP="00311CBD">
            <w:pPr>
              <w:spacing w:after="0" w:line="240" w:lineRule="auto"/>
              <w:rPr>
                <w:rFonts w:cstheme="minorHAnsi"/>
              </w:rPr>
            </w:pPr>
            <w:r w:rsidRPr="00311CBD">
              <w:rPr>
                <w:rFonts w:cstheme="minorHAnsi"/>
              </w:rPr>
              <w:t>L14 – 27</w:t>
            </w:r>
          </w:p>
        </w:tc>
      </w:tr>
      <w:tr w:rsidR="00311CBD" w:rsidRPr="00311CBD" w14:paraId="3E9BFDDD" w14:textId="77777777" w:rsidTr="00311CBD">
        <w:trPr>
          <w:trHeight w:hRule="exact" w:val="378"/>
        </w:trPr>
        <w:tc>
          <w:tcPr>
            <w:tcW w:w="2546" w:type="dxa"/>
            <w:tcBorders>
              <w:top w:val="single" w:sz="5" w:space="0" w:color="000000"/>
              <w:left w:val="single" w:sz="5" w:space="0" w:color="000000"/>
              <w:bottom w:val="single" w:sz="5" w:space="0" w:color="000000"/>
              <w:right w:val="single" w:sz="5" w:space="0" w:color="000000"/>
            </w:tcBorders>
          </w:tcPr>
          <w:p w14:paraId="58ACFE71" w14:textId="77777777" w:rsidR="00311CBD" w:rsidRPr="00311CBD" w:rsidRDefault="00311CBD" w:rsidP="00311CBD">
            <w:pPr>
              <w:spacing w:after="0" w:line="240" w:lineRule="auto"/>
              <w:rPr>
                <w:rFonts w:cstheme="minorHAnsi"/>
              </w:rPr>
            </w:pPr>
            <w:r w:rsidRPr="00311CBD">
              <w:rPr>
                <w:rFonts w:cstheme="minorHAnsi"/>
              </w:rPr>
              <w:t>Group 5</w:t>
            </w:r>
          </w:p>
        </w:tc>
        <w:tc>
          <w:tcPr>
            <w:tcW w:w="4819" w:type="dxa"/>
            <w:tcBorders>
              <w:top w:val="single" w:sz="5" w:space="0" w:color="000000"/>
              <w:left w:val="single" w:sz="5" w:space="0" w:color="000000"/>
              <w:bottom w:val="single" w:sz="5" w:space="0" w:color="000000"/>
              <w:right w:val="single" w:sz="5" w:space="0" w:color="000000"/>
            </w:tcBorders>
          </w:tcPr>
          <w:p w14:paraId="7FAA2D62" w14:textId="77777777" w:rsidR="00311CBD" w:rsidRPr="00311CBD" w:rsidRDefault="00311CBD" w:rsidP="00311CBD">
            <w:pPr>
              <w:spacing w:after="0" w:line="240" w:lineRule="auto"/>
              <w:rPr>
                <w:rFonts w:cstheme="minorHAnsi"/>
              </w:rPr>
            </w:pPr>
            <w:r w:rsidRPr="00311CBD">
              <w:rPr>
                <w:rFonts w:cstheme="minorHAnsi"/>
              </w:rPr>
              <w:t>L18 – 31</w:t>
            </w:r>
          </w:p>
        </w:tc>
      </w:tr>
      <w:tr w:rsidR="00311CBD" w:rsidRPr="00311CBD" w14:paraId="6CA503E9" w14:textId="77777777" w:rsidTr="00311CBD">
        <w:trPr>
          <w:trHeight w:hRule="exact" w:val="359"/>
        </w:trPr>
        <w:tc>
          <w:tcPr>
            <w:tcW w:w="2546" w:type="dxa"/>
            <w:tcBorders>
              <w:top w:val="single" w:sz="5" w:space="0" w:color="000000"/>
              <w:left w:val="single" w:sz="5" w:space="0" w:color="000000"/>
              <w:bottom w:val="single" w:sz="5" w:space="0" w:color="000000"/>
              <w:right w:val="single" w:sz="5" w:space="0" w:color="000000"/>
            </w:tcBorders>
            <w:shd w:val="clear" w:color="auto" w:fill="D9D9D9"/>
          </w:tcPr>
          <w:p w14:paraId="0166EB78" w14:textId="77777777" w:rsidR="00311CBD" w:rsidRPr="00311CBD" w:rsidRDefault="00311CBD" w:rsidP="00311CBD">
            <w:pPr>
              <w:spacing w:after="0" w:line="240" w:lineRule="auto"/>
              <w:rPr>
                <w:rFonts w:cstheme="minorHAnsi"/>
              </w:rPr>
            </w:pPr>
            <w:r w:rsidRPr="00311CBD">
              <w:rPr>
                <w:rFonts w:cstheme="minorHAnsi"/>
              </w:rPr>
              <w:t>Group 6</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64640873" w14:textId="77777777" w:rsidR="00311CBD" w:rsidRPr="00311CBD" w:rsidRDefault="00311CBD" w:rsidP="00311CBD">
            <w:pPr>
              <w:spacing w:after="0" w:line="240" w:lineRule="auto"/>
              <w:rPr>
                <w:rFonts w:cstheme="minorHAnsi"/>
              </w:rPr>
            </w:pPr>
            <w:r w:rsidRPr="00311CBD">
              <w:rPr>
                <w:rFonts w:cstheme="minorHAnsi"/>
              </w:rPr>
              <w:t>L21 – 35</w:t>
            </w:r>
          </w:p>
        </w:tc>
      </w:tr>
      <w:tr w:rsidR="00311CBD" w:rsidRPr="00311CBD" w14:paraId="49E619DC" w14:textId="77777777" w:rsidTr="00311CBD">
        <w:trPr>
          <w:trHeight w:hRule="exact" w:val="376"/>
        </w:trPr>
        <w:tc>
          <w:tcPr>
            <w:tcW w:w="2546" w:type="dxa"/>
            <w:tcBorders>
              <w:top w:val="single" w:sz="5" w:space="0" w:color="000000"/>
              <w:left w:val="single" w:sz="5" w:space="0" w:color="000000"/>
              <w:bottom w:val="single" w:sz="5" w:space="0" w:color="000000"/>
              <w:right w:val="single" w:sz="5" w:space="0" w:color="000000"/>
            </w:tcBorders>
          </w:tcPr>
          <w:p w14:paraId="1193E8AD" w14:textId="77777777" w:rsidR="00311CBD" w:rsidRPr="00311CBD" w:rsidRDefault="00311CBD" w:rsidP="00311CBD">
            <w:pPr>
              <w:spacing w:after="0" w:line="240" w:lineRule="auto"/>
              <w:rPr>
                <w:rFonts w:cstheme="minorHAnsi"/>
              </w:rPr>
            </w:pPr>
            <w:r w:rsidRPr="00311CBD">
              <w:rPr>
                <w:rFonts w:cstheme="minorHAnsi"/>
              </w:rPr>
              <w:t>Group 7</w:t>
            </w:r>
          </w:p>
        </w:tc>
        <w:tc>
          <w:tcPr>
            <w:tcW w:w="4819" w:type="dxa"/>
            <w:tcBorders>
              <w:top w:val="single" w:sz="5" w:space="0" w:color="000000"/>
              <w:left w:val="single" w:sz="5" w:space="0" w:color="000000"/>
              <w:bottom w:val="single" w:sz="5" w:space="0" w:color="000000"/>
              <w:right w:val="single" w:sz="5" w:space="0" w:color="000000"/>
            </w:tcBorders>
          </w:tcPr>
          <w:p w14:paraId="7251DF08" w14:textId="77777777" w:rsidR="00311CBD" w:rsidRPr="00311CBD" w:rsidRDefault="00311CBD" w:rsidP="00311CBD">
            <w:pPr>
              <w:spacing w:after="0" w:line="240" w:lineRule="auto"/>
              <w:rPr>
                <w:rFonts w:cstheme="minorHAnsi"/>
              </w:rPr>
            </w:pPr>
            <w:r w:rsidRPr="00311CBD">
              <w:rPr>
                <w:rFonts w:cstheme="minorHAnsi"/>
              </w:rPr>
              <w:t xml:space="preserve">L24 </w:t>
            </w:r>
            <w:proofErr w:type="gramStart"/>
            <w:r w:rsidRPr="00311CBD">
              <w:rPr>
                <w:rFonts w:cstheme="minorHAnsi"/>
              </w:rPr>
              <w:t>-  39</w:t>
            </w:r>
            <w:proofErr w:type="gramEnd"/>
          </w:p>
        </w:tc>
      </w:tr>
      <w:tr w:rsidR="00311CBD" w:rsidRPr="00311CBD" w14:paraId="0C30E17D" w14:textId="77777777" w:rsidTr="00311CBD">
        <w:trPr>
          <w:trHeight w:hRule="exact" w:val="359"/>
        </w:trPr>
        <w:tc>
          <w:tcPr>
            <w:tcW w:w="2546" w:type="dxa"/>
            <w:tcBorders>
              <w:top w:val="single" w:sz="5" w:space="0" w:color="000000"/>
              <w:left w:val="single" w:sz="5" w:space="0" w:color="000000"/>
              <w:bottom w:val="single" w:sz="5" w:space="0" w:color="000000"/>
              <w:right w:val="single" w:sz="5" w:space="0" w:color="000000"/>
            </w:tcBorders>
            <w:shd w:val="clear" w:color="auto" w:fill="D9D9D9"/>
          </w:tcPr>
          <w:p w14:paraId="1B7AF2C1" w14:textId="77777777" w:rsidR="00311CBD" w:rsidRPr="00311CBD" w:rsidRDefault="00311CBD" w:rsidP="00311CBD">
            <w:pPr>
              <w:spacing w:after="0" w:line="240" w:lineRule="auto"/>
              <w:rPr>
                <w:rFonts w:cstheme="minorHAnsi"/>
              </w:rPr>
            </w:pPr>
            <w:r w:rsidRPr="00311CBD">
              <w:rPr>
                <w:rFonts w:cstheme="minorHAnsi"/>
              </w:rPr>
              <w:t>Group 8</w:t>
            </w:r>
          </w:p>
        </w:tc>
        <w:tc>
          <w:tcPr>
            <w:tcW w:w="4819" w:type="dxa"/>
            <w:tcBorders>
              <w:top w:val="single" w:sz="5" w:space="0" w:color="000000"/>
              <w:left w:val="single" w:sz="5" w:space="0" w:color="000000"/>
              <w:bottom w:val="single" w:sz="5" w:space="0" w:color="000000"/>
              <w:right w:val="single" w:sz="5" w:space="0" w:color="000000"/>
            </w:tcBorders>
            <w:shd w:val="clear" w:color="auto" w:fill="D9D9D9"/>
          </w:tcPr>
          <w:p w14:paraId="56BF83D2" w14:textId="77777777" w:rsidR="00311CBD" w:rsidRPr="00311CBD" w:rsidRDefault="00311CBD" w:rsidP="00311CBD">
            <w:pPr>
              <w:spacing w:after="0" w:line="240" w:lineRule="auto"/>
              <w:rPr>
                <w:rFonts w:cstheme="minorHAnsi"/>
              </w:rPr>
            </w:pPr>
            <w:r w:rsidRPr="00311CBD">
              <w:rPr>
                <w:rFonts w:cstheme="minorHAnsi"/>
              </w:rPr>
              <w:t xml:space="preserve"> L28 - 43</w:t>
            </w:r>
          </w:p>
        </w:tc>
      </w:tr>
    </w:tbl>
    <w:p w14:paraId="35FFC37A" w14:textId="25285F0D" w:rsidR="00C07F52" w:rsidRDefault="00C07F52" w:rsidP="00C07F52">
      <w:pPr>
        <w:spacing w:after="0" w:line="240" w:lineRule="auto"/>
        <w:rPr>
          <w:rFonts w:cstheme="minorHAnsi"/>
        </w:rPr>
      </w:pPr>
    </w:p>
    <w:p w14:paraId="18D32A06" w14:textId="627C03D5" w:rsidR="00311CBD" w:rsidRDefault="00311CBD" w:rsidP="00C07F52">
      <w:pPr>
        <w:spacing w:after="0" w:line="240" w:lineRule="auto"/>
        <w:rPr>
          <w:rFonts w:cstheme="minorHAnsi"/>
        </w:rPr>
      </w:pPr>
    </w:p>
    <w:p w14:paraId="4AABE103" w14:textId="3EE419BD" w:rsidR="00311CBD" w:rsidRDefault="00311CBD" w:rsidP="00C07F52">
      <w:pPr>
        <w:spacing w:after="0" w:line="240" w:lineRule="auto"/>
        <w:rPr>
          <w:rFonts w:cstheme="minorHAnsi"/>
        </w:rPr>
      </w:pPr>
    </w:p>
    <w:p w14:paraId="4FBC45D8" w14:textId="04D055AD" w:rsidR="00311CBD" w:rsidRDefault="00311CBD" w:rsidP="00C07F52">
      <w:pPr>
        <w:spacing w:after="0" w:line="240" w:lineRule="auto"/>
        <w:rPr>
          <w:rFonts w:cstheme="minorHAnsi"/>
        </w:rPr>
      </w:pPr>
    </w:p>
    <w:p w14:paraId="47737808" w14:textId="33D0AEDD" w:rsidR="00311CBD" w:rsidRDefault="00311CBD" w:rsidP="00C07F52">
      <w:pPr>
        <w:spacing w:after="0" w:line="240" w:lineRule="auto"/>
        <w:rPr>
          <w:rFonts w:cstheme="minorHAnsi"/>
        </w:rPr>
      </w:pPr>
    </w:p>
    <w:p w14:paraId="67D11399" w14:textId="5AE9C114" w:rsidR="00311CBD" w:rsidRDefault="00311CBD" w:rsidP="00C07F52">
      <w:pPr>
        <w:spacing w:after="0" w:line="240" w:lineRule="auto"/>
        <w:rPr>
          <w:rFonts w:cstheme="minorHAnsi"/>
        </w:rPr>
      </w:pPr>
    </w:p>
    <w:p w14:paraId="54A0F6B4" w14:textId="3E253A72" w:rsidR="00311CBD" w:rsidRDefault="00311CBD" w:rsidP="00C07F52">
      <w:pPr>
        <w:spacing w:after="0" w:line="240" w:lineRule="auto"/>
        <w:rPr>
          <w:rFonts w:cstheme="minorHAnsi"/>
        </w:rPr>
      </w:pPr>
    </w:p>
    <w:p w14:paraId="35400633" w14:textId="743AA3BF" w:rsidR="00311CBD" w:rsidRDefault="00311CBD" w:rsidP="00C07F52">
      <w:pPr>
        <w:spacing w:after="0" w:line="240" w:lineRule="auto"/>
        <w:rPr>
          <w:rFonts w:cstheme="minorHAnsi"/>
        </w:rPr>
      </w:pPr>
    </w:p>
    <w:p w14:paraId="08A8D2B2" w14:textId="77777777" w:rsidR="00311CBD" w:rsidRDefault="00311CBD" w:rsidP="00C07F52">
      <w:pPr>
        <w:spacing w:after="0" w:line="240" w:lineRule="auto"/>
        <w:rPr>
          <w:rFonts w:cstheme="minorHAnsi"/>
        </w:rPr>
      </w:pPr>
    </w:p>
    <w:p w14:paraId="5185EA3A" w14:textId="19778A84" w:rsidR="00311CBD" w:rsidRDefault="00311CBD" w:rsidP="00C07F52">
      <w:pPr>
        <w:spacing w:after="0" w:line="240" w:lineRule="auto"/>
        <w:rPr>
          <w:rFonts w:cstheme="minorHAnsi"/>
        </w:rPr>
      </w:pPr>
    </w:p>
    <w:p w14:paraId="1A099C75" w14:textId="7DC3F850" w:rsidR="00311CBD" w:rsidRDefault="00311CBD" w:rsidP="00C07F52">
      <w:pPr>
        <w:spacing w:after="0" w:line="240" w:lineRule="auto"/>
        <w:rPr>
          <w:rFonts w:cstheme="minorHAnsi"/>
        </w:rPr>
      </w:pPr>
    </w:p>
    <w:p w14:paraId="6219FDA9" w14:textId="1A252C1E" w:rsidR="00311CBD" w:rsidRDefault="00311CBD" w:rsidP="00C07F52">
      <w:pPr>
        <w:spacing w:after="0" w:line="240" w:lineRule="auto"/>
        <w:rPr>
          <w:rFonts w:cstheme="minorHAnsi"/>
        </w:rPr>
      </w:pPr>
    </w:p>
    <w:p w14:paraId="1F1A27B5" w14:textId="4972160E" w:rsidR="00311CBD" w:rsidRDefault="00311CBD" w:rsidP="00C07F52">
      <w:pPr>
        <w:spacing w:after="0" w:line="240" w:lineRule="auto"/>
        <w:rPr>
          <w:rFonts w:cstheme="minorHAnsi"/>
        </w:rPr>
      </w:pPr>
    </w:p>
    <w:p w14:paraId="38C505FB" w14:textId="7983416D" w:rsidR="00311CBD" w:rsidRDefault="00311CBD" w:rsidP="00C07F52">
      <w:pPr>
        <w:spacing w:after="0" w:line="240" w:lineRule="auto"/>
        <w:rPr>
          <w:rFonts w:cstheme="minorHAnsi"/>
        </w:rPr>
      </w:pPr>
    </w:p>
    <w:p w14:paraId="2B15B765" w14:textId="77777777" w:rsidR="00311CBD" w:rsidRDefault="00311CBD" w:rsidP="00C07F52">
      <w:pPr>
        <w:spacing w:after="0" w:line="240" w:lineRule="auto"/>
        <w:rPr>
          <w:rFonts w:cstheme="minorHAnsi"/>
        </w:rPr>
      </w:pPr>
    </w:p>
    <w:tbl>
      <w:tblPr>
        <w:tblW w:w="7371" w:type="dxa"/>
        <w:tblInd w:w="-6" w:type="dxa"/>
        <w:tblLayout w:type="fixed"/>
        <w:tblCellMar>
          <w:left w:w="0" w:type="dxa"/>
          <w:right w:w="0" w:type="dxa"/>
        </w:tblCellMar>
        <w:tblLook w:val="01E0" w:firstRow="1" w:lastRow="1" w:firstColumn="1" w:lastColumn="1" w:noHBand="0" w:noVBand="0"/>
      </w:tblPr>
      <w:tblGrid>
        <w:gridCol w:w="1701"/>
        <w:gridCol w:w="1985"/>
        <w:gridCol w:w="1843"/>
        <w:gridCol w:w="1827"/>
        <w:gridCol w:w="15"/>
      </w:tblGrid>
      <w:tr w:rsidR="00311CBD" w:rsidRPr="00311CBD" w14:paraId="0123B1CA" w14:textId="77777777" w:rsidTr="00190577">
        <w:trPr>
          <w:gridAfter w:val="1"/>
          <w:wAfter w:w="15" w:type="dxa"/>
          <w:trHeight w:hRule="exact" w:val="664"/>
        </w:trPr>
        <w:tc>
          <w:tcPr>
            <w:tcW w:w="1701" w:type="dxa"/>
            <w:tcBorders>
              <w:top w:val="single" w:sz="5" w:space="0" w:color="000000"/>
              <w:left w:val="single" w:sz="5" w:space="0" w:color="000000"/>
              <w:bottom w:val="single" w:sz="5" w:space="0" w:color="000000"/>
              <w:right w:val="single" w:sz="5" w:space="0" w:color="000000"/>
            </w:tcBorders>
            <w:shd w:val="clear" w:color="auto" w:fill="BEBEBE"/>
          </w:tcPr>
          <w:p w14:paraId="4052CA75" w14:textId="77777777" w:rsidR="00311CBD" w:rsidRPr="00311CBD" w:rsidRDefault="00311CBD" w:rsidP="00311CBD">
            <w:pPr>
              <w:spacing w:after="0" w:line="240" w:lineRule="auto"/>
              <w:rPr>
                <w:rFonts w:ascii="Times New Roman" w:eastAsia="Times New Roman" w:hAnsi="Times New Roman" w:cs="Times New Roman"/>
                <w:sz w:val="20"/>
                <w:szCs w:val="20"/>
                <w:lang w:val="en-US" w:eastAsia="en-GB"/>
              </w:rPr>
            </w:pPr>
          </w:p>
          <w:p w14:paraId="432DC34B" w14:textId="77777777" w:rsidR="00311CBD" w:rsidRPr="00311CBD" w:rsidRDefault="00311CBD" w:rsidP="00311CBD">
            <w:pPr>
              <w:spacing w:after="0" w:line="240" w:lineRule="auto"/>
              <w:rPr>
                <w:rFonts w:ascii="Times New Roman" w:eastAsia="Times New Roman" w:hAnsi="Times New Roman" w:cs="Times New Roman"/>
                <w:sz w:val="20"/>
                <w:szCs w:val="20"/>
                <w:lang w:val="en-US" w:eastAsia="en-GB"/>
              </w:rPr>
            </w:pPr>
          </w:p>
        </w:tc>
        <w:tc>
          <w:tcPr>
            <w:tcW w:w="1985" w:type="dxa"/>
            <w:tcBorders>
              <w:top w:val="single" w:sz="5" w:space="0" w:color="000000"/>
              <w:left w:val="single" w:sz="5" w:space="0" w:color="000000"/>
              <w:bottom w:val="single" w:sz="5" w:space="0" w:color="000000"/>
              <w:right w:val="single" w:sz="5" w:space="0" w:color="000000"/>
            </w:tcBorders>
            <w:shd w:val="clear" w:color="auto" w:fill="BEBEBE"/>
          </w:tcPr>
          <w:p w14:paraId="4DA9F773" w14:textId="77777777" w:rsidR="00311CBD" w:rsidRPr="00311CBD" w:rsidRDefault="00311CBD" w:rsidP="00311CBD">
            <w:pPr>
              <w:spacing w:before="71" w:after="0" w:line="240" w:lineRule="auto"/>
              <w:ind w:left="109"/>
              <w:rPr>
                <w:rFonts w:ascii="Arial" w:eastAsia="Arial" w:hAnsi="Arial" w:cs="Arial"/>
                <w:sz w:val="20"/>
                <w:szCs w:val="20"/>
                <w:lang w:val="en-US" w:eastAsia="en-GB"/>
              </w:rPr>
            </w:pPr>
            <w:r w:rsidRPr="00311CBD">
              <w:rPr>
                <w:rFonts w:ascii="Arial" w:eastAsia="Arial" w:hAnsi="Arial" w:cs="Arial"/>
                <w:sz w:val="20"/>
                <w:szCs w:val="20"/>
                <w:lang w:val="en-US" w:eastAsia="en-GB"/>
              </w:rPr>
              <w:t xml:space="preserve">Inner </w:t>
            </w:r>
            <w:r w:rsidRPr="00311CBD">
              <w:rPr>
                <w:rFonts w:ascii="Arial" w:eastAsia="Arial" w:hAnsi="Arial" w:cs="Arial"/>
                <w:spacing w:val="2"/>
                <w:sz w:val="20"/>
                <w:szCs w:val="20"/>
                <w:lang w:val="en-US" w:eastAsia="en-GB"/>
              </w:rPr>
              <w:t>L</w:t>
            </w:r>
            <w:r w:rsidRPr="00311CBD">
              <w:rPr>
                <w:rFonts w:ascii="Arial" w:eastAsia="Arial" w:hAnsi="Arial" w:cs="Arial"/>
                <w:sz w:val="20"/>
                <w:szCs w:val="20"/>
                <w:lang w:val="en-US" w:eastAsia="en-GB"/>
              </w:rPr>
              <w:t>o</w:t>
            </w:r>
            <w:r w:rsidRPr="00311CBD">
              <w:rPr>
                <w:rFonts w:ascii="Arial" w:eastAsia="Arial" w:hAnsi="Arial" w:cs="Arial"/>
                <w:spacing w:val="2"/>
                <w:sz w:val="20"/>
                <w:szCs w:val="20"/>
                <w:lang w:val="en-US" w:eastAsia="en-GB"/>
              </w:rPr>
              <w:t>n</w:t>
            </w:r>
            <w:r w:rsidRPr="00311CBD">
              <w:rPr>
                <w:rFonts w:ascii="Arial" w:eastAsia="Arial" w:hAnsi="Arial" w:cs="Arial"/>
                <w:sz w:val="20"/>
                <w:szCs w:val="20"/>
                <w:lang w:val="en-US" w:eastAsia="en-GB"/>
              </w:rPr>
              <w:t xml:space="preserve">don </w:t>
            </w:r>
            <w:r w:rsidRPr="00311CBD">
              <w:rPr>
                <w:rFonts w:ascii="Arial" w:eastAsia="Arial" w:hAnsi="Arial" w:cs="Arial"/>
                <w:spacing w:val="-1"/>
                <w:sz w:val="20"/>
                <w:szCs w:val="20"/>
                <w:lang w:val="en-US" w:eastAsia="en-GB"/>
              </w:rPr>
              <w:t>A</w:t>
            </w:r>
            <w:r w:rsidRPr="00311CBD">
              <w:rPr>
                <w:rFonts w:ascii="Arial" w:eastAsia="Arial" w:hAnsi="Arial" w:cs="Arial"/>
                <w:spacing w:val="1"/>
                <w:sz w:val="20"/>
                <w:szCs w:val="20"/>
                <w:lang w:val="en-US" w:eastAsia="en-GB"/>
              </w:rPr>
              <w:t>r</w:t>
            </w:r>
            <w:r w:rsidRPr="00311CBD">
              <w:rPr>
                <w:rFonts w:ascii="Arial" w:eastAsia="Arial" w:hAnsi="Arial" w:cs="Arial"/>
                <w:sz w:val="20"/>
                <w:szCs w:val="20"/>
                <w:lang w:val="en-US" w:eastAsia="en-GB"/>
              </w:rPr>
              <w:t>ea</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14:paraId="0C86E380" w14:textId="77777777" w:rsidR="00311CBD" w:rsidRPr="00311CBD" w:rsidRDefault="00311CBD" w:rsidP="00311CBD">
            <w:pPr>
              <w:spacing w:before="71" w:after="0" w:line="240" w:lineRule="auto"/>
              <w:ind w:left="245" w:right="248"/>
              <w:jc w:val="center"/>
              <w:rPr>
                <w:rFonts w:ascii="Arial" w:eastAsia="Arial" w:hAnsi="Arial" w:cs="Arial"/>
                <w:sz w:val="20"/>
                <w:szCs w:val="20"/>
                <w:lang w:val="en-US" w:eastAsia="en-GB"/>
              </w:rPr>
            </w:pPr>
            <w:r w:rsidRPr="00311CBD">
              <w:rPr>
                <w:rFonts w:ascii="Arial" w:eastAsia="Arial" w:hAnsi="Arial" w:cs="Arial"/>
                <w:spacing w:val="1"/>
                <w:sz w:val="20"/>
                <w:szCs w:val="20"/>
                <w:lang w:val="en-US" w:eastAsia="en-GB"/>
              </w:rPr>
              <w:t>O</w:t>
            </w:r>
            <w:r w:rsidRPr="00311CBD">
              <w:rPr>
                <w:rFonts w:ascii="Arial" w:eastAsia="Arial" w:hAnsi="Arial" w:cs="Arial"/>
                <w:sz w:val="20"/>
                <w:szCs w:val="20"/>
                <w:lang w:val="en-US" w:eastAsia="en-GB"/>
              </w:rPr>
              <w:t>ut</w:t>
            </w:r>
            <w:r w:rsidRPr="00311CBD">
              <w:rPr>
                <w:rFonts w:ascii="Arial" w:eastAsia="Arial" w:hAnsi="Arial" w:cs="Arial"/>
                <w:spacing w:val="-1"/>
                <w:sz w:val="20"/>
                <w:szCs w:val="20"/>
                <w:lang w:val="en-US" w:eastAsia="en-GB"/>
              </w:rPr>
              <w:t>e</w:t>
            </w:r>
            <w:r w:rsidRPr="00311CBD">
              <w:rPr>
                <w:rFonts w:ascii="Arial" w:eastAsia="Arial" w:hAnsi="Arial" w:cs="Arial"/>
                <w:sz w:val="20"/>
                <w:szCs w:val="20"/>
                <w:lang w:val="en-US" w:eastAsia="en-GB"/>
              </w:rPr>
              <w:t xml:space="preserve">r </w:t>
            </w:r>
            <w:r w:rsidRPr="00311CBD">
              <w:rPr>
                <w:rFonts w:ascii="Arial" w:eastAsia="Arial" w:hAnsi="Arial" w:cs="Arial"/>
                <w:w w:val="99"/>
                <w:sz w:val="20"/>
                <w:szCs w:val="20"/>
                <w:lang w:val="en-US" w:eastAsia="en-GB"/>
              </w:rPr>
              <w:t>L</w:t>
            </w:r>
            <w:r w:rsidRPr="00311CBD">
              <w:rPr>
                <w:rFonts w:ascii="Arial" w:eastAsia="Arial" w:hAnsi="Arial" w:cs="Arial"/>
                <w:spacing w:val="1"/>
                <w:w w:val="99"/>
                <w:sz w:val="20"/>
                <w:szCs w:val="20"/>
                <w:lang w:val="en-US" w:eastAsia="en-GB"/>
              </w:rPr>
              <w:t>o</w:t>
            </w:r>
            <w:r w:rsidRPr="00311CBD">
              <w:rPr>
                <w:rFonts w:ascii="Arial" w:eastAsia="Arial" w:hAnsi="Arial" w:cs="Arial"/>
                <w:w w:val="99"/>
                <w:sz w:val="20"/>
                <w:szCs w:val="20"/>
                <w:lang w:val="en-US" w:eastAsia="en-GB"/>
              </w:rPr>
              <w:t>n</w:t>
            </w:r>
            <w:r w:rsidRPr="00311CBD">
              <w:rPr>
                <w:rFonts w:ascii="Arial" w:eastAsia="Arial" w:hAnsi="Arial" w:cs="Arial"/>
                <w:spacing w:val="-1"/>
                <w:w w:val="99"/>
                <w:sz w:val="20"/>
                <w:szCs w:val="20"/>
                <w:lang w:val="en-US" w:eastAsia="en-GB"/>
              </w:rPr>
              <w:t>d</w:t>
            </w:r>
            <w:r w:rsidRPr="00311CBD">
              <w:rPr>
                <w:rFonts w:ascii="Arial" w:eastAsia="Arial" w:hAnsi="Arial" w:cs="Arial"/>
                <w:spacing w:val="2"/>
                <w:w w:val="99"/>
                <w:sz w:val="20"/>
                <w:szCs w:val="20"/>
                <w:lang w:val="en-US" w:eastAsia="en-GB"/>
              </w:rPr>
              <w:t>o</w:t>
            </w:r>
            <w:r w:rsidRPr="00311CBD">
              <w:rPr>
                <w:rFonts w:ascii="Arial" w:eastAsia="Arial" w:hAnsi="Arial" w:cs="Arial"/>
                <w:w w:val="99"/>
                <w:sz w:val="20"/>
                <w:szCs w:val="20"/>
                <w:lang w:val="en-US" w:eastAsia="en-GB"/>
              </w:rPr>
              <w:t>n</w:t>
            </w:r>
          </w:p>
          <w:p w14:paraId="2DD26E7B" w14:textId="77777777" w:rsidR="00311CBD" w:rsidRPr="00311CBD" w:rsidRDefault="00311CBD" w:rsidP="00311CBD">
            <w:pPr>
              <w:spacing w:before="1" w:after="0" w:line="240" w:lineRule="auto"/>
              <w:ind w:left="646" w:right="652"/>
              <w:jc w:val="center"/>
              <w:rPr>
                <w:rFonts w:ascii="Arial" w:eastAsia="Arial" w:hAnsi="Arial" w:cs="Arial"/>
                <w:sz w:val="20"/>
                <w:szCs w:val="20"/>
                <w:lang w:val="en-US" w:eastAsia="en-GB"/>
              </w:rPr>
            </w:pPr>
            <w:r w:rsidRPr="00311CBD">
              <w:rPr>
                <w:rFonts w:ascii="Arial" w:eastAsia="Arial" w:hAnsi="Arial" w:cs="Arial"/>
                <w:spacing w:val="-1"/>
                <w:w w:val="99"/>
                <w:sz w:val="20"/>
                <w:szCs w:val="20"/>
                <w:lang w:val="en-US" w:eastAsia="en-GB"/>
              </w:rPr>
              <w:t>A</w:t>
            </w:r>
            <w:r w:rsidRPr="00311CBD">
              <w:rPr>
                <w:rFonts w:ascii="Arial" w:eastAsia="Arial" w:hAnsi="Arial" w:cs="Arial"/>
                <w:spacing w:val="1"/>
                <w:w w:val="99"/>
                <w:sz w:val="20"/>
                <w:szCs w:val="20"/>
                <w:lang w:val="en-US" w:eastAsia="en-GB"/>
              </w:rPr>
              <w:t>r</w:t>
            </w:r>
            <w:r w:rsidRPr="00311CBD">
              <w:rPr>
                <w:rFonts w:ascii="Arial" w:eastAsia="Arial" w:hAnsi="Arial" w:cs="Arial"/>
                <w:w w:val="99"/>
                <w:sz w:val="20"/>
                <w:szCs w:val="20"/>
                <w:lang w:val="en-US" w:eastAsia="en-GB"/>
              </w:rPr>
              <w:t>ea</w:t>
            </w:r>
          </w:p>
        </w:tc>
        <w:tc>
          <w:tcPr>
            <w:tcW w:w="1827" w:type="dxa"/>
            <w:tcBorders>
              <w:top w:val="single" w:sz="5" w:space="0" w:color="000000"/>
              <w:left w:val="single" w:sz="5" w:space="0" w:color="000000"/>
              <w:bottom w:val="single" w:sz="5" w:space="0" w:color="000000"/>
              <w:right w:val="single" w:sz="5" w:space="0" w:color="000000"/>
            </w:tcBorders>
            <w:shd w:val="clear" w:color="auto" w:fill="BEBEBE"/>
          </w:tcPr>
          <w:p w14:paraId="7CE53B5F" w14:textId="77777777" w:rsidR="00311CBD" w:rsidRPr="00311CBD" w:rsidRDefault="00311CBD" w:rsidP="00311CBD">
            <w:pPr>
              <w:spacing w:before="71" w:after="0" w:line="240" w:lineRule="auto"/>
              <w:ind w:left="417"/>
              <w:rPr>
                <w:rFonts w:ascii="Arial" w:eastAsia="Arial" w:hAnsi="Arial" w:cs="Arial"/>
                <w:sz w:val="20"/>
                <w:szCs w:val="20"/>
                <w:lang w:val="en-US" w:eastAsia="en-GB"/>
              </w:rPr>
            </w:pPr>
            <w:r w:rsidRPr="00311CBD">
              <w:rPr>
                <w:rFonts w:ascii="Arial" w:eastAsia="Arial" w:hAnsi="Arial" w:cs="Arial"/>
                <w:sz w:val="20"/>
                <w:szCs w:val="20"/>
                <w:lang w:val="en-US" w:eastAsia="en-GB"/>
              </w:rPr>
              <w:t>F</w:t>
            </w:r>
            <w:r w:rsidRPr="00311CBD">
              <w:rPr>
                <w:rFonts w:ascii="Arial" w:eastAsia="Arial" w:hAnsi="Arial" w:cs="Arial"/>
                <w:spacing w:val="1"/>
                <w:sz w:val="20"/>
                <w:szCs w:val="20"/>
                <w:lang w:val="en-US" w:eastAsia="en-GB"/>
              </w:rPr>
              <w:t>r</w:t>
            </w:r>
            <w:r w:rsidRPr="00311CBD">
              <w:rPr>
                <w:rFonts w:ascii="Arial" w:eastAsia="Arial" w:hAnsi="Arial" w:cs="Arial"/>
                <w:spacing w:val="-1"/>
                <w:sz w:val="20"/>
                <w:szCs w:val="20"/>
                <w:lang w:val="en-US" w:eastAsia="en-GB"/>
              </w:rPr>
              <w:t>i</w:t>
            </w:r>
            <w:r w:rsidRPr="00311CBD">
              <w:rPr>
                <w:rFonts w:ascii="Arial" w:eastAsia="Arial" w:hAnsi="Arial" w:cs="Arial"/>
                <w:sz w:val="20"/>
                <w:szCs w:val="20"/>
                <w:lang w:val="en-US" w:eastAsia="en-GB"/>
              </w:rPr>
              <w:t>n</w:t>
            </w:r>
            <w:r w:rsidRPr="00311CBD">
              <w:rPr>
                <w:rFonts w:ascii="Arial" w:eastAsia="Arial" w:hAnsi="Arial" w:cs="Arial"/>
                <w:spacing w:val="-1"/>
                <w:sz w:val="20"/>
                <w:szCs w:val="20"/>
                <w:lang w:val="en-US" w:eastAsia="en-GB"/>
              </w:rPr>
              <w:t>g</w:t>
            </w:r>
            <w:r w:rsidRPr="00311CBD">
              <w:rPr>
                <w:rFonts w:ascii="Arial" w:eastAsia="Arial" w:hAnsi="Arial" w:cs="Arial"/>
                <w:sz w:val="20"/>
                <w:szCs w:val="20"/>
                <w:lang w:val="en-US" w:eastAsia="en-GB"/>
              </w:rPr>
              <w:t xml:space="preserve">e </w:t>
            </w:r>
            <w:r w:rsidRPr="00311CBD">
              <w:rPr>
                <w:rFonts w:ascii="Arial" w:eastAsia="Arial" w:hAnsi="Arial" w:cs="Arial"/>
                <w:spacing w:val="-1"/>
                <w:sz w:val="20"/>
                <w:szCs w:val="20"/>
                <w:lang w:val="en-US" w:eastAsia="en-GB"/>
              </w:rPr>
              <w:t>A</w:t>
            </w:r>
            <w:r w:rsidRPr="00311CBD">
              <w:rPr>
                <w:rFonts w:ascii="Arial" w:eastAsia="Arial" w:hAnsi="Arial" w:cs="Arial"/>
                <w:spacing w:val="1"/>
                <w:sz w:val="20"/>
                <w:szCs w:val="20"/>
                <w:lang w:val="en-US" w:eastAsia="en-GB"/>
              </w:rPr>
              <w:t>r</w:t>
            </w:r>
            <w:r w:rsidRPr="00311CBD">
              <w:rPr>
                <w:rFonts w:ascii="Arial" w:eastAsia="Arial" w:hAnsi="Arial" w:cs="Arial"/>
                <w:sz w:val="20"/>
                <w:szCs w:val="20"/>
                <w:lang w:val="en-US" w:eastAsia="en-GB"/>
              </w:rPr>
              <w:t>ea</w:t>
            </w:r>
          </w:p>
        </w:tc>
      </w:tr>
      <w:tr w:rsidR="00311CBD" w:rsidRPr="00311CBD" w14:paraId="3B8D5F2C"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516832AD"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256CFBB4"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w:t>
            </w:r>
          </w:p>
        </w:tc>
        <w:tc>
          <w:tcPr>
            <w:tcW w:w="1985" w:type="dxa"/>
            <w:tcBorders>
              <w:top w:val="single" w:sz="5" w:space="0" w:color="000000"/>
              <w:left w:val="single" w:sz="5" w:space="0" w:color="000000"/>
              <w:bottom w:val="single" w:sz="5" w:space="0" w:color="000000"/>
              <w:right w:val="single" w:sz="5" w:space="0" w:color="000000"/>
            </w:tcBorders>
          </w:tcPr>
          <w:p w14:paraId="6100FA10"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7D861133"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£50,167</w:t>
            </w:r>
          </w:p>
        </w:tc>
        <w:tc>
          <w:tcPr>
            <w:tcW w:w="1843" w:type="dxa"/>
            <w:tcBorders>
              <w:top w:val="single" w:sz="5" w:space="0" w:color="000000"/>
              <w:left w:val="single" w:sz="5" w:space="0" w:color="000000"/>
              <w:bottom w:val="single" w:sz="5" w:space="0" w:color="000000"/>
              <w:right w:val="single" w:sz="5" w:space="0" w:color="000000"/>
            </w:tcBorders>
          </w:tcPr>
          <w:p w14:paraId="1B4EC61E"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381338A7"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£45,542</w:t>
            </w:r>
          </w:p>
        </w:tc>
        <w:tc>
          <w:tcPr>
            <w:tcW w:w="1827" w:type="dxa"/>
            <w:tcBorders>
              <w:top w:val="single" w:sz="5" w:space="0" w:color="000000"/>
              <w:left w:val="single" w:sz="5" w:space="0" w:color="000000"/>
              <w:bottom w:val="single" w:sz="5" w:space="0" w:color="000000"/>
              <w:right w:val="single" w:sz="5" w:space="0" w:color="000000"/>
            </w:tcBorders>
          </w:tcPr>
          <w:p w14:paraId="54712AA5"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147DDCD4"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£43,356</w:t>
            </w:r>
          </w:p>
        </w:tc>
      </w:tr>
      <w:tr w:rsidR="00311CBD" w:rsidRPr="00311CBD" w14:paraId="01C78073"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3988F0A1"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5841B91"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2</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482263AA"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6A56505D"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£51,229</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0C55F74D"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8FCED95"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£46,601</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7A335833"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1ECB8C06"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£44,415</w:t>
            </w:r>
          </w:p>
        </w:tc>
      </w:tr>
      <w:tr w:rsidR="00311CBD" w:rsidRPr="00311CBD" w14:paraId="741BFBBB"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5D976D14"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1540860A"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3</w:t>
            </w:r>
          </w:p>
        </w:tc>
        <w:tc>
          <w:tcPr>
            <w:tcW w:w="1985" w:type="dxa"/>
            <w:tcBorders>
              <w:top w:val="single" w:sz="5" w:space="0" w:color="000000"/>
              <w:left w:val="single" w:sz="5" w:space="0" w:color="000000"/>
              <w:bottom w:val="single" w:sz="5" w:space="0" w:color="000000"/>
              <w:right w:val="single" w:sz="5" w:space="0" w:color="000000"/>
            </w:tcBorders>
          </w:tcPr>
          <w:p w14:paraId="6762FC15"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5B6D9249"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£52,313</w:t>
            </w:r>
          </w:p>
        </w:tc>
        <w:tc>
          <w:tcPr>
            <w:tcW w:w="1843" w:type="dxa"/>
            <w:tcBorders>
              <w:top w:val="single" w:sz="5" w:space="0" w:color="000000"/>
              <w:left w:val="single" w:sz="5" w:space="0" w:color="000000"/>
              <w:bottom w:val="single" w:sz="5" w:space="0" w:color="000000"/>
              <w:right w:val="single" w:sz="5" w:space="0" w:color="000000"/>
            </w:tcBorders>
          </w:tcPr>
          <w:p w14:paraId="1591E080"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185E4A25"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£47,676</w:t>
            </w:r>
          </w:p>
        </w:tc>
        <w:tc>
          <w:tcPr>
            <w:tcW w:w="1827" w:type="dxa"/>
            <w:tcBorders>
              <w:top w:val="single" w:sz="5" w:space="0" w:color="000000"/>
              <w:left w:val="single" w:sz="5" w:space="0" w:color="000000"/>
              <w:bottom w:val="single" w:sz="5" w:space="0" w:color="000000"/>
              <w:right w:val="single" w:sz="5" w:space="0" w:color="000000"/>
            </w:tcBorders>
          </w:tcPr>
          <w:p w14:paraId="744F3765"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1E0D023F"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£45,495</w:t>
            </w:r>
          </w:p>
        </w:tc>
      </w:tr>
      <w:tr w:rsidR="00311CBD" w:rsidRPr="00311CBD" w14:paraId="6E455472"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709534C2"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2715F22F"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4</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0FF8CAB8"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685BFEC"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£53,414</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64209AB9"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1DC8AD1"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£48</w:t>
            </w:r>
            <w:r w:rsidRPr="00311CBD">
              <w:rPr>
                <w:rFonts w:ascii="Arial" w:eastAsia="Arial" w:hAnsi="Arial" w:cs="Arial"/>
                <w:spacing w:val="2"/>
                <w:sz w:val="20"/>
                <w:szCs w:val="20"/>
                <w:lang w:val="en-US" w:eastAsia="en-GB"/>
              </w:rPr>
              <w:t>,785</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14C64513"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1554B8E1"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£46,604</w:t>
            </w:r>
          </w:p>
        </w:tc>
      </w:tr>
      <w:tr w:rsidR="00311CBD" w:rsidRPr="00311CBD" w14:paraId="64044407"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74C588E8"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592210E9"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5</w:t>
            </w:r>
          </w:p>
        </w:tc>
        <w:tc>
          <w:tcPr>
            <w:tcW w:w="1985" w:type="dxa"/>
            <w:tcBorders>
              <w:top w:val="single" w:sz="5" w:space="0" w:color="000000"/>
              <w:left w:val="single" w:sz="5" w:space="0" w:color="000000"/>
              <w:bottom w:val="single" w:sz="5" w:space="0" w:color="000000"/>
              <w:right w:val="single" w:sz="5" w:space="0" w:color="000000"/>
            </w:tcBorders>
          </w:tcPr>
          <w:p w14:paraId="0AEF9264"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23CFAE58"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54,552</w:t>
            </w:r>
          </w:p>
        </w:tc>
        <w:tc>
          <w:tcPr>
            <w:tcW w:w="1843" w:type="dxa"/>
            <w:tcBorders>
              <w:top w:val="single" w:sz="5" w:space="0" w:color="000000"/>
              <w:left w:val="single" w:sz="5" w:space="0" w:color="000000"/>
              <w:bottom w:val="single" w:sz="5" w:space="0" w:color="000000"/>
              <w:right w:val="single" w:sz="5" w:space="0" w:color="000000"/>
            </w:tcBorders>
          </w:tcPr>
          <w:p w14:paraId="7160194B"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0EB73C59"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49,919</w:t>
            </w:r>
          </w:p>
        </w:tc>
        <w:tc>
          <w:tcPr>
            <w:tcW w:w="1827" w:type="dxa"/>
            <w:tcBorders>
              <w:top w:val="single" w:sz="5" w:space="0" w:color="000000"/>
              <w:left w:val="single" w:sz="5" w:space="0" w:color="000000"/>
              <w:bottom w:val="single" w:sz="5" w:space="0" w:color="000000"/>
              <w:right w:val="single" w:sz="5" w:space="0" w:color="000000"/>
            </w:tcBorders>
          </w:tcPr>
          <w:p w14:paraId="2692DD9A"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6B4C2A6B"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47</w:t>
            </w:r>
            <w:r w:rsidRPr="00311CBD">
              <w:rPr>
                <w:rFonts w:ascii="Arial" w:eastAsia="Arial" w:hAnsi="Arial" w:cs="Arial"/>
                <w:spacing w:val="2"/>
                <w:sz w:val="20"/>
                <w:szCs w:val="20"/>
                <w:lang w:val="en-US" w:eastAsia="en-GB"/>
              </w:rPr>
              <w:t>,737</w:t>
            </w:r>
          </w:p>
        </w:tc>
      </w:tr>
      <w:tr w:rsidR="00311CBD" w:rsidRPr="00311CBD" w14:paraId="09E958F9"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12B2B5CF"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6CF583F0"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6</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21D381CE"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4A2779CD"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£55</w:t>
            </w:r>
            <w:r w:rsidRPr="00311CBD">
              <w:rPr>
                <w:rFonts w:ascii="Arial" w:eastAsia="Arial" w:hAnsi="Arial" w:cs="Arial"/>
                <w:spacing w:val="2"/>
                <w:sz w:val="20"/>
                <w:szCs w:val="20"/>
                <w:lang w:val="en-US" w:eastAsia="en-GB"/>
              </w:rPr>
              <w:t>,715</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67788FA0"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172AEB62"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£51,082</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6494C48C"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3A4526AC"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£48,901</w:t>
            </w:r>
          </w:p>
        </w:tc>
      </w:tr>
      <w:tr w:rsidR="00311CBD" w:rsidRPr="00311CBD" w14:paraId="1B4B91CF"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5806FCAE"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1F189035"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7</w:t>
            </w:r>
          </w:p>
        </w:tc>
        <w:tc>
          <w:tcPr>
            <w:tcW w:w="1985" w:type="dxa"/>
            <w:tcBorders>
              <w:top w:val="single" w:sz="5" w:space="0" w:color="000000"/>
              <w:left w:val="single" w:sz="5" w:space="0" w:color="000000"/>
              <w:bottom w:val="single" w:sz="5" w:space="0" w:color="000000"/>
              <w:right w:val="single" w:sz="5" w:space="0" w:color="000000"/>
            </w:tcBorders>
          </w:tcPr>
          <w:p w14:paraId="0C60F170"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7E1B014B"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£57,003</w:t>
            </w:r>
          </w:p>
        </w:tc>
        <w:tc>
          <w:tcPr>
            <w:tcW w:w="1843" w:type="dxa"/>
            <w:tcBorders>
              <w:top w:val="single" w:sz="5" w:space="0" w:color="000000"/>
              <w:left w:val="single" w:sz="5" w:space="0" w:color="000000"/>
              <w:bottom w:val="single" w:sz="5" w:space="0" w:color="000000"/>
              <w:right w:val="single" w:sz="5" w:space="0" w:color="000000"/>
            </w:tcBorders>
          </w:tcPr>
          <w:p w14:paraId="6D0D8F82"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3C475268"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£52,371</w:t>
            </w:r>
          </w:p>
        </w:tc>
        <w:tc>
          <w:tcPr>
            <w:tcW w:w="1827" w:type="dxa"/>
            <w:tcBorders>
              <w:top w:val="single" w:sz="5" w:space="0" w:color="000000"/>
              <w:left w:val="single" w:sz="5" w:space="0" w:color="000000"/>
              <w:bottom w:val="single" w:sz="5" w:space="0" w:color="000000"/>
              <w:right w:val="single" w:sz="5" w:space="0" w:color="000000"/>
            </w:tcBorders>
          </w:tcPr>
          <w:p w14:paraId="17313414"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55A7A401"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£50,190</w:t>
            </w:r>
          </w:p>
        </w:tc>
      </w:tr>
      <w:tr w:rsidR="00311CBD" w:rsidRPr="00311CBD" w14:paraId="065FA356"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3D2564B4"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E951133"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8</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17C1BA21"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7E0E4D57"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£58</w:t>
            </w:r>
            <w:r w:rsidRPr="00311CBD">
              <w:rPr>
                <w:rFonts w:ascii="Arial" w:eastAsia="Arial" w:hAnsi="Arial" w:cs="Arial"/>
                <w:spacing w:val="2"/>
                <w:sz w:val="20"/>
                <w:szCs w:val="20"/>
                <w:lang w:val="en-US" w:eastAsia="en-GB"/>
              </w:rPr>
              <w:t>,132</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05B9FC25"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4B0ABC88"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£53,449</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75EF83DF"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00A2F362"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£51,314</w:t>
            </w:r>
          </w:p>
        </w:tc>
      </w:tr>
      <w:tr w:rsidR="00311CBD" w:rsidRPr="00311CBD" w14:paraId="6F0139DB"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1E09DE95"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7BACABE9" w14:textId="77777777" w:rsidR="00311CBD" w:rsidRPr="00311CBD" w:rsidRDefault="00311CBD" w:rsidP="00311CBD">
            <w:pPr>
              <w:spacing w:after="0" w:line="240" w:lineRule="auto"/>
              <w:ind w:left="718" w:right="720"/>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9</w:t>
            </w:r>
          </w:p>
        </w:tc>
        <w:tc>
          <w:tcPr>
            <w:tcW w:w="1985" w:type="dxa"/>
            <w:tcBorders>
              <w:top w:val="single" w:sz="5" w:space="0" w:color="000000"/>
              <w:left w:val="single" w:sz="5" w:space="0" w:color="000000"/>
              <w:bottom w:val="single" w:sz="5" w:space="0" w:color="000000"/>
              <w:right w:val="single" w:sz="5" w:space="0" w:color="000000"/>
            </w:tcBorders>
          </w:tcPr>
          <w:p w14:paraId="2A4C09E3"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42240B7A"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59</w:t>
            </w:r>
            <w:r w:rsidRPr="00311CBD">
              <w:rPr>
                <w:rFonts w:ascii="Arial" w:eastAsia="Arial" w:hAnsi="Arial" w:cs="Arial"/>
                <w:spacing w:val="2"/>
                <w:sz w:val="20"/>
                <w:szCs w:val="20"/>
                <w:lang w:val="en-US" w:eastAsia="en-GB"/>
              </w:rPr>
              <w:t>,380</w:t>
            </w:r>
          </w:p>
        </w:tc>
        <w:tc>
          <w:tcPr>
            <w:tcW w:w="1843" w:type="dxa"/>
            <w:tcBorders>
              <w:top w:val="single" w:sz="5" w:space="0" w:color="000000"/>
              <w:left w:val="single" w:sz="5" w:space="0" w:color="000000"/>
              <w:bottom w:val="single" w:sz="5" w:space="0" w:color="000000"/>
              <w:right w:val="single" w:sz="5" w:space="0" w:color="000000"/>
            </w:tcBorders>
          </w:tcPr>
          <w:p w14:paraId="7BD92221"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53FF51E2"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£54,750</w:t>
            </w:r>
          </w:p>
        </w:tc>
        <w:tc>
          <w:tcPr>
            <w:tcW w:w="1827" w:type="dxa"/>
            <w:tcBorders>
              <w:top w:val="single" w:sz="5" w:space="0" w:color="000000"/>
              <w:left w:val="single" w:sz="5" w:space="0" w:color="000000"/>
              <w:bottom w:val="single" w:sz="5" w:space="0" w:color="000000"/>
              <w:right w:val="single" w:sz="5" w:space="0" w:color="000000"/>
            </w:tcBorders>
          </w:tcPr>
          <w:p w14:paraId="04F53BB9"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4F00DBE8"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£52,568</w:t>
            </w:r>
          </w:p>
        </w:tc>
      </w:tr>
      <w:tr w:rsidR="00311CBD" w:rsidRPr="00311CBD" w14:paraId="13068DA3"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1D1579F3"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BF42EA0"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10</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41AD97AD"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3BA0A2BC"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£60,701</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1C8FECCD"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87C3A88"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56</w:t>
            </w:r>
            <w:r w:rsidRPr="00311CBD">
              <w:rPr>
                <w:rFonts w:ascii="Arial" w:eastAsia="Arial" w:hAnsi="Arial" w:cs="Arial"/>
                <w:sz w:val="20"/>
                <w:szCs w:val="20"/>
                <w:lang w:val="en-US" w:eastAsia="en-GB"/>
              </w:rPr>
              <w:t>,072</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30DE46E1"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A51E68D"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53</w:t>
            </w:r>
            <w:r w:rsidRPr="00311CBD">
              <w:rPr>
                <w:rFonts w:ascii="Arial" w:eastAsia="Arial" w:hAnsi="Arial" w:cs="Arial"/>
                <w:sz w:val="20"/>
                <w:szCs w:val="20"/>
                <w:lang w:val="en-US" w:eastAsia="en-GB"/>
              </w:rPr>
              <w:t>,888</w:t>
            </w:r>
          </w:p>
        </w:tc>
      </w:tr>
      <w:tr w:rsidR="00311CBD" w:rsidRPr="00311CBD" w14:paraId="63503DC7"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7D745498"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72DE35C4"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11</w:t>
            </w:r>
          </w:p>
        </w:tc>
        <w:tc>
          <w:tcPr>
            <w:tcW w:w="1985" w:type="dxa"/>
            <w:tcBorders>
              <w:top w:val="single" w:sz="5" w:space="0" w:color="000000"/>
              <w:left w:val="single" w:sz="5" w:space="0" w:color="000000"/>
              <w:bottom w:val="single" w:sz="5" w:space="0" w:color="000000"/>
              <w:right w:val="single" w:sz="5" w:space="0" w:color="000000"/>
            </w:tcBorders>
          </w:tcPr>
          <w:p w14:paraId="51C1856E"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0828B617"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£62,066</w:t>
            </w:r>
          </w:p>
        </w:tc>
        <w:tc>
          <w:tcPr>
            <w:tcW w:w="1843" w:type="dxa"/>
            <w:tcBorders>
              <w:top w:val="single" w:sz="5" w:space="0" w:color="000000"/>
              <w:left w:val="single" w:sz="5" w:space="0" w:color="000000"/>
              <w:bottom w:val="single" w:sz="5" w:space="0" w:color="000000"/>
              <w:right w:val="single" w:sz="5" w:space="0" w:color="000000"/>
            </w:tcBorders>
          </w:tcPr>
          <w:p w14:paraId="1CDE3DC4"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14F43E87"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£57</w:t>
            </w:r>
            <w:r w:rsidRPr="00311CBD">
              <w:rPr>
                <w:rFonts w:ascii="Arial" w:eastAsia="Arial" w:hAnsi="Arial" w:cs="Arial"/>
                <w:spacing w:val="2"/>
                <w:sz w:val="20"/>
                <w:szCs w:val="20"/>
                <w:lang w:val="en-US" w:eastAsia="en-GB"/>
              </w:rPr>
              <w:t>,436</w:t>
            </w:r>
          </w:p>
        </w:tc>
        <w:tc>
          <w:tcPr>
            <w:tcW w:w="1827" w:type="dxa"/>
            <w:tcBorders>
              <w:top w:val="single" w:sz="5" w:space="0" w:color="000000"/>
              <w:left w:val="single" w:sz="5" w:space="0" w:color="000000"/>
              <w:bottom w:val="single" w:sz="5" w:space="0" w:color="000000"/>
              <w:right w:val="single" w:sz="5" w:space="0" w:color="000000"/>
            </w:tcBorders>
          </w:tcPr>
          <w:p w14:paraId="790F8EF7"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64EC9656"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55</w:t>
            </w:r>
            <w:r w:rsidRPr="00311CBD">
              <w:rPr>
                <w:rFonts w:ascii="Arial" w:eastAsia="Arial" w:hAnsi="Arial" w:cs="Arial"/>
                <w:spacing w:val="2"/>
                <w:sz w:val="20"/>
                <w:szCs w:val="20"/>
                <w:lang w:val="en-US" w:eastAsia="en-GB"/>
              </w:rPr>
              <w:t>,254</w:t>
            </w:r>
          </w:p>
        </w:tc>
      </w:tr>
      <w:tr w:rsidR="00311CBD" w:rsidRPr="00311CBD" w14:paraId="60EF670B"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185EE1A6"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0B03556E"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12</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19F11250"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0584720"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£63,319</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65AD7C13"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4B7DE2DB"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£58,688</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3774D25C"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17B6F55B"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£55,506</w:t>
            </w:r>
          </w:p>
        </w:tc>
      </w:tr>
      <w:tr w:rsidR="00311CBD" w:rsidRPr="00311CBD" w14:paraId="18E0C000"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5B50F9AB"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4C870BCF"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13</w:t>
            </w:r>
          </w:p>
        </w:tc>
        <w:tc>
          <w:tcPr>
            <w:tcW w:w="1985" w:type="dxa"/>
            <w:tcBorders>
              <w:top w:val="single" w:sz="5" w:space="0" w:color="000000"/>
              <w:left w:val="single" w:sz="5" w:space="0" w:color="000000"/>
              <w:bottom w:val="single" w:sz="5" w:space="0" w:color="000000"/>
              <w:right w:val="single" w:sz="5" w:space="0" w:color="000000"/>
            </w:tcBorders>
          </w:tcPr>
          <w:p w14:paraId="73DCD33F"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79A109ED"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64</w:t>
            </w:r>
            <w:r w:rsidRPr="00311CBD">
              <w:rPr>
                <w:rFonts w:ascii="Arial" w:eastAsia="Arial" w:hAnsi="Arial" w:cs="Arial"/>
                <w:spacing w:val="2"/>
                <w:sz w:val="20"/>
                <w:szCs w:val="20"/>
                <w:lang w:val="en-US" w:eastAsia="en-GB"/>
              </w:rPr>
              <w:t>,700</w:t>
            </w:r>
          </w:p>
        </w:tc>
        <w:tc>
          <w:tcPr>
            <w:tcW w:w="1843" w:type="dxa"/>
            <w:tcBorders>
              <w:top w:val="single" w:sz="5" w:space="0" w:color="000000"/>
              <w:left w:val="single" w:sz="5" w:space="0" w:color="000000"/>
              <w:bottom w:val="single" w:sz="5" w:space="0" w:color="000000"/>
              <w:right w:val="single" w:sz="5" w:space="0" w:color="000000"/>
            </w:tcBorders>
          </w:tcPr>
          <w:p w14:paraId="3206B49F"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464C046A"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£60,073</w:t>
            </w:r>
          </w:p>
        </w:tc>
        <w:tc>
          <w:tcPr>
            <w:tcW w:w="1827" w:type="dxa"/>
            <w:tcBorders>
              <w:top w:val="single" w:sz="5" w:space="0" w:color="000000"/>
              <w:left w:val="single" w:sz="5" w:space="0" w:color="000000"/>
              <w:bottom w:val="single" w:sz="5" w:space="0" w:color="000000"/>
              <w:right w:val="single" w:sz="5" w:space="0" w:color="000000"/>
            </w:tcBorders>
          </w:tcPr>
          <w:p w14:paraId="6D522960"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040A4409"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£57,890</w:t>
            </w:r>
          </w:p>
        </w:tc>
      </w:tr>
      <w:tr w:rsidR="00311CBD" w:rsidRPr="00311CBD" w14:paraId="6924236C"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0132725B"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0759C2F0"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14</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1998154F"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7A762571"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£66,114</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218748EA"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E05079B"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£61,479</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0201B3E8"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165F82A8"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£59,302</w:t>
            </w:r>
          </w:p>
        </w:tc>
      </w:tr>
      <w:tr w:rsidR="00311CBD" w:rsidRPr="00311CBD" w14:paraId="4E2616A9"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2A6FE683" w14:textId="77777777" w:rsidR="00311CBD" w:rsidRPr="00311CBD" w:rsidRDefault="00311CBD" w:rsidP="00311CBD">
            <w:pPr>
              <w:spacing w:before="6" w:after="0" w:line="140" w:lineRule="exact"/>
              <w:rPr>
                <w:rFonts w:ascii="Times New Roman" w:eastAsia="Times New Roman" w:hAnsi="Times New Roman" w:cs="Times New Roman"/>
                <w:sz w:val="14"/>
                <w:szCs w:val="14"/>
                <w:lang w:val="en-US" w:eastAsia="en-GB"/>
              </w:rPr>
            </w:pPr>
          </w:p>
          <w:p w14:paraId="21EB083B"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15</w:t>
            </w:r>
          </w:p>
        </w:tc>
        <w:tc>
          <w:tcPr>
            <w:tcW w:w="1985" w:type="dxa"/>
            <w:tcBorders>
              <w:top w:val="single" w:sz="5" w:space="0" w:color="000000"/>
              <w:left w:val="single" w:sz="5" w:space="0" w:color="000000"/>
              <w:bottom w:val="single" w:sz="5" w:space="0" w:color="000000"/>
              <w:right w:val="single" w:sz="5" w:space="0" w:color="000000"/>
            </w:tcBorders>
          </w:tcPr>
          <w:p w14:paraId="50A794B4" w14:textId="77777777" w:rsidR="00311CBD" w:rsidRPr="00311CBD" w:rsidRDefault="00311CBD" w:rsidP="00311CBD">
            <w:pPr>
              <w:spacing w:before="6" w:after="0" w:line="140" w:lineRule="exact"/>
              <w:rPr>
                <w:rFonts w:ascii="Times New Roman" w:eastAsia="Times New Roman" w:hAnsi="Times New Roman" w:cs="Times New Roman"/>
                <w:sz w:val="14"/>
                <w:szCs w:val="14"/>
                <w:lang w:val="en-US" w:eastAsia="en-GB"/>
              </w:rPr>
            </w:pPr>
          </w:p>
          <w:p w14:paraId="48008BFE"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£67,556</w:t>
            </w:r>
          </w:p>
        </w:tc>
        <w:tc>
          <w:tcPr>
            <w:tcW w:w="1843" w:type="dxa"/>
            <w:tcBorders>
              <w:top w:val="single" w:sz="5" w:space="0" w:color="000000"/>
              <w:left w:val="single" w:sz="5" w:space="0" w:color="000000"/>
              <w:bottom w:val="single" w:sz="5" w:space="0" w:color="000000"/>
              <w:right w:val="single" w:sz="5" w:space="0" w:color="000000"/>
            </w:tcBorders>
          </w:tcPr>
          <w:p w14:paraId="58075781" w14:textId="77777777" w:rsidR="00311CBD" w:rsidRPr="00311CBD" w:rsidRDefault="00311CBD" w:rsidP="00311CBD">
            <w:pPr>
              <w:spacing w:before="6" w:after="0" w:line="140" w:lineRule="exact"/>
              <w:rPr>
                <w:rFonts w:ascii="Times New Roman" w:eastAsia="Times New Roman" w:hAnsi="Times New Roman" w:cs="Times New Roman"/>
                <w:sz w:val="14"/>
                <w:szCs w:val="14"/>
                <w:lang w:val="en-US" w:eastAsia="en-GB"/>
              </w:rPr>
            </w:pPr>
          </w:p>
          <w:p w14:paraId="2CB4CD9A"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£62,926</w:t>
            </w:r>
          </w:p>
        </w:tc>
        <w:tc>
          <w:tcPr>
            <w:tcW w:w="1827" w:type="dxa"/>
            <w:tcBorders>
              <w:top w:val="single" w:sz="5" w:space="0" w:color="000000"/>
              <w:left w:val="single" w:sz="5" w:space="0" w:color="000000"/>
              <w:bottom w:val="single" w:sz="5" w:space="0" w:color="000000"/>
              <w:right w:val="single" w:sz="5" w:space="0" w:color="000000"/>
            </w:tcBorders>
          </w:tcPr>
          <w:p w14:paraId="2F404957" w14:textId="77777777" w:rsidR="00311CBD" w:rsidRPr="00311CBD" w:rsidRDefault="00311CBD" w:rsidP="00311CBD">
            <w:pPr>
              <w:spacing w:before="6" w:after="0" w:line="140" w:lineRule="exact"/>
              <w:rPr>
                <w:rFonts w:ascii="Times New Roman" w:eastAsia="Times New Roman" w:hAnsi="Times New Roman" w:cs="Times New Roman"/>
                <w:sz w:val="14"/>
                <w:szCs w:val="14"/>
                <w:lang w:val="en-US" w:eastAsia="en-GB"/>
              </w:rPr>
            </w:pPr>
          </w:p>
          <w:p w14:paraId="504A5184"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£60,744</w:t>
            </w:r>
          </w:p>
        </w:tc>
      </w:tr>
      <w:tr w:rsidR="00311CBD" w:rsidRPr="00311CBD" w14:paraId="6F28C77E"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264025D7"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05F877C9"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16</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281802DB"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3C32652C"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£69,146</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74602C1D"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28893A4A"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£64,514</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338DF623"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68285A9A"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£62,333</w:t>
            </w:r>
          </w:p>
        </w:tc>
      </w:tr>
      <w:tr w:rsidR="00311CBD" w:rsidRPr="00311CBD" w14:paraId="464405DD"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0A7A2F27"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0C6FA0BF"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17</w:t>
            </w:r>
          </w:p>
        </w:tc>
        <w:tc>
          <w:tcPr>
            <w:tcW w:w="1985" w:type="dxa"/>
            <w:tcBorders>
              <w:top w:val="single" w:sz="5" w:space="0" w:color="000000"/>
              <w:left w:val="single" w:sz="5" w:space="0" w:color="000000"/>
              <w:bottom w:val="single" w:sz="5" w:space="0" w:color="000000"/>
              <w:right w:val="single" w:sz="5" w:space="0" w:color="000000"/>
            </w:tcBorders>
          </w:tcPr>
          <w:p w14:paraId="31766DFE"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2766825D"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£70,552</w:t>
            </w:r>
          </w:p>
        </w:tc>
        <w:tc>
          <w:tcPr>
            <w:tcW w:w="1843" w:type="dxa"/>
            <w:tcBorders>
              <w:top w:val="single" w:sz="5" w:space="0" w:color="000000"/>
              <w:left w:val="single" w:sz="5" w:space="0" w:color="000000"/>
              <w:bottom w:val="single" w:sz="5" w:space="0" w:color="000000"/>
              <w:right w:val="single" w:sz="5" w:space="0" w:color="000000"/>
            </w:tcBorders>
          </w:tcPr>
          <w:p w14:paraId="22A40281"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0900C4BE"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£65,921</w:t>
            </w:r>
          </w:p>
        </w:tc>
        <w:tc>
          <w:tcPr>
            <w:tcW w:w="1827" w:type="dxa"/>
            <w:tcBorders>
              <w:top w:val="single" w:sz="5" w:space="0" w:color="000000"/>
              <w:left w:val="single" w:sz="5" w:space="0" w:color="000000"/>
              <w:bottom w:val="single" w:sz="5" w:space="0" w:color="000000"/>
              <w:right w:val="single" w:sz="5" w:space="0" w:color="000000"/>
            </w:tcBorders>
          </w:tcPr>
          <w:p w14:paraId="7D885123"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719D9AAE"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£63,746</w:t>
            </w:r>
          </w:p>
        </w:tc>
      </w:tr>
      <w:tr w:rsidR="00311CBD" w:rsidRPr="00311CBD" w14:paraId="7D83DCFD" w14:textId="77777777" w:rsidTr="00190577">
        <w:trPr>
          <w:gridAfter w:val="1"/>
          <w:wAfter w:w="15" w:type="dxa"/>
          <w:trHeight w:hRule="exact" w:val="447"/>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3AA1C47B" w14:textId="77777777" w:rsidR="00311CBD" w:rsidRPr="00311CBD" w:rsidRDefault="00311CBD" w:rsidP="00311CBD">
            <w:pPr>
              <w:spacing w:before="9" w:after="0" w:line="120" w:lineRule="exact"/>
              <w:rPr>
                <w:rFonts w:ascii="Times New Roman" w:eastAsia="Times New Roman" w:hAnsi="Times New Roman" w:cs="Times New Roman"/>
                <w:sz w:val="12"/>
                <w:szCs w:val="12"/>
                <w:lang w:val="en-US" w:eastAsia="en-GB"/>
              </w:rPr>
            </w:pPr>
          </w:p>
          <w:p w14:paraId="6AFB6A50"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18</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4A2A71C7" w14:textId="77777777" w:rsidR="00311CBD" w:rsidRPr="00311CBD" w:rsidRDefault="00311CBD" w:rsidP="00311CBD">
            <w:pPr>
              <w:spacing w:before="9" w:after="0" w:line="120" w:lineRule="exact"/>
              <w:rPr>
                <w:rFonts w:ascii="Times New Roman" w:eastAsia="Times New Roman" w:hAnsi="Times New Roman" w:cs="Times New Roman"/>
                <w:sz w:val="12"/>
                <w:szCs w:val="12"/>
                <w:lang w:val="en-US" w:eastAsia="en-GB"/>
              </w:rPr>
            </w:pPr>
          </w:p>
          <w:p w14:paraId="595BBCBA"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£72,125</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2F6418D1" w14:textId="77777777" w:rsidR="00311CBD" w:rsidRPr="00311CBD" w:rsidRDefault="00311CBD" w:rsidP="00311CBD">
            <w:pPr>
              <w:spacing w:before="9" w:after="0" w:line="120" w:lineRule="exact"/>
              <w:rPr>
                <w:rFonts w:ascii="Times New Roman" w:eastAsia="Times New Roman" w:hAnsi="Times New Roman" w:cs="Times New Roman"/>
                <w:sz w:val="12"/>
                <w:szCs w:val="12"/>
                <w:lang w:val="en-US" w:eastAsia="en-GB"/>
              </w:rPr>
            </w:pPr>
          </w:p>
          <w:p w14:paraId="2E18DD53"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£67,496</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0AEF7300" w14:textId="77777777" w:rsidR="00311CBD" w:rsidRPr="00311CBD" w:rsidRDefault="00311CBD" w:rsidP="00311CBD">
            <w:pPr>
              <w:spacing w:before="9" w:after="0" w:line="120" w:lineRule="exact"/>
              <w:rPr>
                <w:rFonts w:ascii="Times New Roman" w:eastAsia="Times New Roman" w:hAnsi="Times New Roman" w:cs="Times New Roman"/>
                <w:sz w:val="12"/>
                <w:szCs w:val="12"/>
                <w:lang w:val="en-US" w:eastAsia="en-GB"/>
              </w:rPr>
            </w:pPr>
          </w:p>
          <w:p w14:paraId="1F1B832B"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£65,310</w:t>
            </w:r>
          </w:p>
        </w:tc>
      </w:tr>
      <w:tr w:rsidR="00311CBD" w:rsidRPr="00311CBD" w14:paraId="30EE5683" w14:textId="77777777" w:rsidTr="00190577">
        <w:trPr>
          <w:gridAfter w:val="1"/>
          <w:wAfter w:w="15" w:type="dxa"/>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46C1C3FB"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12884795"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19</w:t>
            </w:r>
          </w:p>
        </w:tc>
        <w:tc>
          <w:tcPr>
            <w:tcW w:w="1985" w:type="dxa"/>
            <w:tcBorders>
              <w:top w:val="single" w:sz="5" w:space="0" w:color="000000"/>
              <w:left w:val="single" w:sz="5" w:space="0" w:color="000000"/>
              <w:bottom w:val="single" w:sz="5" w:space="0" w:color="000000"/>
              <w:right w:val="single" w:sz="5" w:space="0" w:color="000000"/>
            </w:tcBorders>
          </w:tcPr>
          <w:p w14:paraId="112ED8FA"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4D46AAFD"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£73,715</w:t>
            </w:r>
          </w:p>
        </w:tc>
        <w:tc>
          <w:tcPr>
            <w:tcW w:w="1843" w:type="dxa"/>
            <w:tcBorders>
              <w:top w:val="single" w:sz="5" w:space="0" w:color="000000"/>
              <w:left w:val="single" w:sz="5" w:space="0" w:color="000000"/>
              <w:bottom w:val="single" w:sz="5" w:space="0" w:color="000000"/>
              <w:right w:val="single" w:sz="5" w:space="0" w:color="000000"/>
            </w:tcBorders>
          </w:tcPr>
          <w:p w14:paraId="2B1A8048"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32B811DD"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£69,087</w:t>
            </w:r>
          </w:p>
        </w:tc>
        <w:tc>
          <w:tcPr>
            <w:tcW w:w="1827" w:type="dxa"/>
            <w:tcBorders>
              <w:top w:val="single" w:sz="5" w:space="0" w:color="000000"/>
              <w:left w:val="single" w:sz="5" w:space="0" w:color="000000"/>
              <w:bottom w:val="single" w:sz="5" w:space="0" w:color="000000"/>
              <w:right w:val="single" w:sz="5" w:space="0" w:color="000000"/>
            </w:tcBorders>
          </w:tcPr>
          <w:p w14:paraId="5A921E9B" w14:textId="77777777" w:rsidR="00311CBD" w:rsidRPr="00311CBD" w:rsidRDefault="00311CBD" w:rsidP="00311CBD">
            <w:pPr>
              <w:spacing w:before="5" w:after="0" w:line="140" w:lineRule="exact"/>
              <w:rPr>
                <w:rFonts w:ascii="Times New Roman" w:eastAsia="Times New Roman" w:hAnsi="Times New Roman" w:cs="Times New Roman"/>
                <w:sz w:val="14"/>
                <w:szCs w:val="14"/>
                <w:lang w:val="en-US" w:eastAsia="en-GB"/>
              </w:rPr>
            </w:pPr>
          </w:p>
          <w:p w14:paraId="32ACF98D"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£66,900</w:t>
            </w:r>
          </w:p>
        </w:tc>
      </w:tr>
      <w:tr w:rsidR="00311CBD" w:rsidRPr="00311CBD" w14:paraId="4DFD2E5F" w14:textId="77777777" w:rsidTr="00190577">
        <w:trPr>
          <w:gridAfter w:val="1"/>
          <w:wAfter w:w="15" w:type="dxa"/>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4279B396"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1EB4CB8"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20</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4AEB16C5"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37D55AEF"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£75,345</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0F0E54B9"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33D50524"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£70,713</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0E32F7F2" w14:textId="77777777" w:rsidR="00311CBD" w:rsidRPr="00311CBD" w:rsidRDefault="00311CBD" w:rsidP="00311CBD">
            <w:pPr>
              <w:spacing w:before="4" w:after="0" w:line="120" w:lineRule="exact"/>
              <w:rPr>
                <w:rFonts w:ascii="Times New Roman" w:eastAsia="Times New Roman" w:hAnsi="Times New Roman" w:cs="Times New Roman"/>
                <w:sz w:val="13"/>
                <w:szCs w:val="13"/>
                <w:lang w:val="en-US" w:eastAsia="en-GB"/>
              </w:rPr>
            </w:pPr>
          </w:p>
          <w:p w14:paraId="545EA56D"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£68,536</w:t>
            </w:r>
          </w:p>
        </w:tc>
      </w:tr>
      <w:tr w:rsidR="00311CBD" w:rsidRPr="00311CBD" w14:paraId="5BE998F9" w14:textId="77777777" w:rsidTr="00190577">
        <w:trPr>
          <w:gridAfter w:val="1"/>
          <w:wAfter w:w="15" w:type="dxa"/>
          <w:trHeight w:hRule="exact" w:val="445"/>
        </w:trPr>
        <w:tc>
          <w:tcPr>
            <w:tcW w:w="1701" w:type="dxa"/>
            <w:tcBorders>
              <w:top w:val="single" w:sz="5" w:space="0" w:color="000000"/>
              <w:left w:val="single" w:sz="5" w:space="0" w:color="000000"/>
              <w:bottom w:val="single" w:sz="5" w:space="0" w:color="000000"/>
              <w:right w:val="single" w:sz="5" w:space="0" w:color="000000"/>
            </w:tcBorders>
          </w:tcPr>
          <w:p w14:paraId="04E8E24F" w14:textId="77777777" w:rsidR="00311CBD" w:rsidRPr="00311CBD" w:rsidRDefault="00311CBD" w:rsidP="00311CBD">
            <w:pPr>
              <w:spacing w:before="9" w:after="0" w:line="100" w:lineRule="exact"/>
              <w:rPr>
                <w:rFonts w:ascii="Times New Roman" w:eastAsia="Times New Roman" w:hAnsi="Times New Roman" w:cs="Times New Roman"/>
                <w:sz w:val="11"/>
                <w:szCs w:val="11"/>
                <w:lang w:val="en-US" w:eastAsia="en-GB"/>
              </w:rPr>
            </w:pPr>
          </w:p>
          <w:p w14:paraId="753EA479"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21</w:t>
            </w:r>
          </w:p>
        </w:tc>
        <w:tc>
          <w:tcPr>
            <w:tcW w:w="1985" w:type="dxa"/>
            <w:tcBorders>
              <w:top w:val="single" w:sz="5" w:space="0" w:color="000000"/>
              <w:left w:val="single" w:sz="5" w:space="0" w:color="000000"/>
              <w:bottom w:val="single" w:sz="5" w:space="0" w:color="000000"/>
              <w:right w:val="single" w:sz="5" w:space="0" w:color="000000"/>
            </w:tcBorders>
          </w:tcPr>
          <w:p w14:paraId="7F38A380" w14:textId="77777777" w:rsidR="00311CBD" w:rsidRPr="00311CBD" w:rsidRDefault="00311CBD" w:rsidP="00311CBD">
            <w:pPr>
              <w:spacing w:before="9" w:after="0" w:line="100" w:lineRule="exact"/>
              <w:rPr>
                <w:rFonts w:ascii="Times New Roman" w:eastAsia="Times New Roman" w:hAnsi="Times New Roman" w:cs="Times New Roman"/>
                <w:sz w:val="11"/>
                <w:szCs w:val="11"/>
                <w:lang w:val="en-US" w:eastAsia="en-GB"/>
              </w:rPr>
            </w:pPr>
          </w:p>
          <w:p w14:paraId="3AE554EB"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£77,011</w:t>
            </w:r>
          </w:p>
        </w:tc>
        <w:tc>
          <w:tcPr>
            <w:tcW w:w="1843" w:type="dxa"/>
            <w:tcBorders>
              <w:top w:val="single" w:sz="5" w:space="0" w:color="000000"/>
              <w:left w:val="single" w:sz="5" w:space="0" w:color="000000"/>
              <w:bottom w:val="single" w:sz="5" w:space="0" w:color="000000"/>
              <w:right w:val="single" w:sz="5" w:space="0" w:color="000000"/>
            </w:tcBorders>
          </w:tcPr>
          <w:p w14:paraId="0AF7991C" w14:textId="77777777" w:rsidR="00311CBD" w:rsidRPr="00311CBD" w:rsidRDefault="00311CBD" w:rsidP="00311CBD">
            <w:pPr>
              <w:spacing w:before="9" w:after="0" w:line="100" w:lineRule="exact"/>
              <w:rPr>
                <w:rFonts w:ascii="Times New Roman" w:eastAsia="Times New Roman" w:hAnsi="Times New Roman" w:cs="Times New Roman"/>
                <w:sz w:val="11"/>
                <w:szCs w:val="11"/>
                <w:lang w:val="en-US" w:eastAsia="en-GB"/>
              </w:rPr>
            </w:pPr>
          </w:p>
          <w:p w14:paraId="57B98390"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£72,383</w:t>
            </w:r>
          </w:p>
        </w:tc>
        <w:tc>
          <w:tcPr>
            <w:tcW w:w="1827" w:type="dxa"/>
            <w:tcBorders>
              <w:top w:val="single" w:sz="5" w:space="0" w:color="000000"/>
              <w:left w:val="single" w:sz="5" w:space="0" w:color="000000"/>
              <w:bottom w:val="single" w:sz="5" w:space="0" w:color="000000"/>
              <w:right w:val="single" w:sz="5" w:space="0" w:color="000000"/>
            </w:tcBorders>
          </w:tcPr>
          <w:p w14:paraId="02F91497" w14:textId="77777777" w:rsidR="00311CBD" w:rsidRPr="00311CBD" w:rsidRDefault="00311CBD" w:rsidP="00311CBD">
            <w:pPr>
              <w:spacing w:before="9" w:after="0" w:line="100" w:lineRule="exact"/>
              <w:rPr>
                <w:rFonts w:ascii="Times New Roman" w:eastAsia="Times New Roman" w:hAnsi="Times New Roman" w:cs="Times New Roman"/>
                <w:sz w:val="11"/>
                <w:szCs w:val="11"/>
                <w:lang w:val="en-US" w:eastAsia="en-GB"/>
              </w:rPr>
            </w:pPr>
          </w:p>
          <w:p w14:paraId="2897A033"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£70,204</w:t>
            </w:r>
          </w:p>
        </w:tc>
      </w:tr>
      <w:tr w:rsidR="00311CBD" w:rsidRPr="00311CBD" w14:paraId="31BECD30" w14:textId="77777777" w:rsidTr="00190577">
        <w:trPr>
          <w:gridAfter w:val="1"/>
          <w:wAfter w:w="15" w:type="dxa"/>
          <w:trHeight w:hRule="exact" w:val="455"/>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2B9E6E23" w14:textId="77777777" w:rsidR="00311CBD" w:rsidRPr="00311CBD" w:rsidRDefault="00311CBD" w:rsidP="00311CBD">
            <w:pPr>
              <w:spacing w:before="6" w:after="0" w:line="120" w:lineRule="exact"/>
              <w:rPr>
                <w:rFonts w:ascii="Times New Roman" w:eastAsia="Times New Roman" w:hAnsi="Times New Roman" w:cs="Times New Roman"/>
                <w:sz w:val="13"/>
                <w:szCs w:val="13"/>
                <w:lang w:val="en-US" w:eastAsia="en-GB"/>
              </w:rPr>
            </w:pPr>
          </w:p>
          <w:p w14:paraId="77F3FAD8" w14:textId="77777777" w:rsidR="00311CBD" w:rsidRPr="00311CBD" w:rsidRDefault="00311CBD" w:rsidP="00311CBD">
            <w:pPr>
              <w:spacing w:after="0" w:line="240" w:lineRule="auto"/>
              <w:ind w:left="662" w:right="665"/>
              <w:jc w:val="center"/>
              <w:rPr>
                <w:rFonts w:ascii="Arial" w:eastAsia="Arial" w:hAnsi="Arial" w:cs="Arial"/>
                <w:sz w:val="20"/>
                <w:szCs w:val="20"/>
                <w:lang w:val="en-US" w:eastAsia="en-GB"/>
              </w:rPr>
            </w:pPr>
            <w:r w:rsidRPr="00311CBD">
              <w:rPr>
                <w:rFonts w:ascii="Arial" w:eastAsia="Arial" w:hAnsi="Arial" w:cs="Arial"/>
                <w:w w:val="99"/>
                <w:sz w:val="20"/>
                <w:szCs w:val="20"/>
                <w:lang w:val="en-US" w:eastAsia="en-GB"/>
              </w:rPr>
              <w:t>22</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65EB3145" w14:textId="77777777" w:rsidR="00311CBD" w:rsidRPr="00311CBD" w:rsidRDefault="00311CBD" w:rsidP="00311CBD">
            <w:pPr>
              <w:spacing w:before="6" w:after="0" w:line="120" w:lineRule="exact"/>
              <w:rPr>
                <w:rFonts w:ascii="Times New Roman" w:eastAsia="Times New Roman" w:hAnsi="Times New Roman" w:cs="Times New Roman"/>
                <w:sz w:val="13"/>
                <w:szCs w:val="13"/>
                <w:lang w:val="en-US" w:eastAsia="en-GB"/>
              </w:rPr>
            </w:pPr>
          </w:p>
          <w:p w14:paraId="0ACE0733" w14:textId="77777777" w:rsidR="00311CBD" w:rsidRPr="00311CBD" w:rsidRDefault="00311CBD" w:rsidP="00311CBD">
            <w:pPr>
              <w:spacing w:after="0" w:line="240" w:lineRule="auto"/>
              <w:ind w:left="577"/>
              <w:rPr>
                <w:rFonts w:ascii="Arial" w:eastAsia="Arial" w:hAnsi="Arial" w:cs="Arial"/>
                <w:sz w:val="20"/>
                <w:szCs w:val="20"/>
                <w:lang w:val="en-US" w:eastAsia="en-GB"/>
              </w:rPr>
            </w:pPr>
            <w:r w:rsidRPr="00311CBD">
              <w:rPr>
                <w:rFonts w:ascii="Arial" w:eastAsia="Arial" w:hAnsi="Arial" w:cs="Arial"/>
                <w:sz w:val="20"/>
                <w:szCs w:val="20"/>
                <w:lang w:val="en-US" w:eastAsia="en-GB"/>
              </w:rPr>
              <w:t>£</w:t>
            </w:r>
            <w:r w:rsidRPr="00311CBD">
              <w:rPr>
                <w:rFonts w:ascii="Arial" w:eastAsia="Arial" w:hAnsi="Arial" w:cs="Arial"/>
                <w:spacing w:val="-1"/>
                <w:sz w:val="20"/>
                <w:szCs w:val="20"/>
                <w:lang w:val="en-US" w:eastAsia="en-GB"/>
              </w:rPr>
              <w:t>78,725</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1CF6EEEB" w14:textId="77777777" w:rsidR="00311CBD" w:rsidRPr="00311CBD" w:rsidRDefault="00311CBD" w:rsidP="00311CBD">
            <w:pPr>
              <w:spacing w:before="6" w:after="0" w:line="120" w:lineRule="exact"/>
              <w:rPr>
                <w:rFonts w:ascii="Times New Roman" w:eastAsia="Times New Roman" w:hAnsi="Times New Roman" w:cs="Times New Roman"/>
                <w:sz w:val="13"/>
                <w:szCs w:val="13"/>
                <w:lang w:val="en-US" w:eastAsia="en-GB"/>
              </w:rPr>
            </w:pPr>
          </w:p>
          <w:p w14:paraId="48387A79" w14:textId="77777777" w:rsidR="00311CBD" w:rsidRPr="00311CBD" w:rsidRDefault="00311CBD" w:rsidP="00311CBD">
            <w:pPr>
              <w:spacing w:after="0" w:line="240" w:lineRule="auto"/>
              <w:ind w:left="532"/>
              <w:rPr>
                <w:rFonts w:ascii="Arial" w:eastAsia="Arial" w:hAnsi="Arial" w:cs="Arial"/>
                <w:sz w:val="20"/>
                <w:szCs w:val="20"/>
                <w:lang w:val="en-US" w:eastAsia="en-GB"/>
              </w:rPr>
            </w:pPr>
            <w:r w:rsidRPr="00311CBD">
              <w:rPr>
                <w:rFonts w:ascii="Arial" w:eastAsia="Arial" w:hAnsi="Arial" w:cs="Arial"/>
                <w:sz w:val="20"/>
                <w:szCs w:val="20"/>
                <w:lang w:val="en-US" w:eastAsia="en-GB"/>
              </w:rPr>
              <w:t>£74</w:t>
            </w:r>
            <w:r w:rsidRPr="00311CBD">
              <w:rPr>
                <w:rFonts w:ascii="Arial" w:eastAsia="Arial" w:hAnsi="Arial" w:cs="Arial"/>
                <w:spacing w:val="2"/>
                <w:sz w:val="20"/>
                <w:szCs w:val="20"/>
                <w:lang w:val="en-US" w:eastAsia="en-GB"/>
              </w:rPr>
              <w:t>,090</w:t>
            </w:r>
          </w:p>
        </w:tc>
        <w:tc>
          <w:tcPr>
            <w:tcW w:w="1827" w:type="dxa"/>
            <w:tcBorders>
              <w:top w:val="single" w:sz="5" w:space="0" w:color="000000"/>
              <w:left w:val="single" w:sz="5" w:space="0" w:color="000000"/>
              <w:bottom w:val="single" w:sz="5" w:space="0" w:color="000000"/>
              <w:right w:val="single" w:sz="5" w:space="0" w:color="000000"/>
            </w:tcBorders>
            <w:shd w:val="clear" w:color="auto" w:fill="D9D9D9"/>
          </w:tcPr>
          <w:p w14:paraId="39BF4A46" w14:textId="77777777" w:rsidR="00311CBD" w:rsidRPr="00311CBD" w:rsidRDefault="00311CBD" w:rsidP="00311CBD">
            <w:pPr>
              <w:spacing w:before="6" w:after="0" w:line="120" w:lineRule="exact"/>
              <w:rPr>
                <w:rFonts w:ascii="Times New Roman" w:eastAsia="Times New Roman" w:hAnsi="Times New Roman" w:cs="Times New Roman"/>
                <w:sz w:val="13"/>
                <w:szCs w:val="13"/>
                <w:lang w:val="en-US" w:eastAsia="en-GB"/>
              </w:rPr>
            </w:pPr>
          </w:p>
          <w:p w14:paraId="7A9142DB" w14:textId="77777777" w:rsidR="00311CBD" w:rsidRPr="00311CBD" w:rsidRDefault="00311CBD" w:rsidP="00311CBD">
            <w:pPr>
              <w:spacing w:after="0" w:line="240" w:lineRule="auto"/>
              <w:ind w:left="578"/>
              <w:rPr>
                <w:rFonts w:ascii="Arial" w:eastAsia="Arial" w:hAnsi="Arial" w:cs="Arial"/>
                <w:sz w:val="20"/>
                <w:szCs w:val="20"/>
                <w:lang w:val="en-US" w:eastAsia="en-GB"/>
              </w:rPr>
            </w:pPr>
            <w:r w:rsidRPr="00311CBD">
              <w:rPr>
                <w:rFonts w:ascii="Arial" w:eastAsia="Arial" w:hAnsi="Arial" w:cs="Arial"/>
                <w:sz w:val="20"/>
                <w:szCs w:val="20"/>
                <w:lang w:val="en-US" w:eastAsia="en-GB"/>
              </w:rPr>
              <w:t>£71,914</w:t>
            </w:r>
          </w:p>
        </w:tc>
      </w:tr>
      <w:tr w:rsidR="00190577" w:rsidRPr="00190577" w14:paraId="4F6C6636" w14:textId="77777777" w:rsidTr="00190577">
        <w:trPr>
          <w:trHeight w:hRule="exact" w:val="467"/>
        </w:trPr>
        <w:tc>
          <w:tcPr>
            <w:tcW w:w="1701" w:type="dxa"/>
            <w:tcBorders>
              <w:top w:val="single" w:sz="5" w:space="0" w:color="000000"/>
              <w:left w:val="single" w:sz="5" w:space="0" w:color="000000"/>
              <w:bottom w:val="single" w:sz="5" w:space="0" w:color="000000"/>
              <w:right w:val="single" w:sz="5" w:space="0" w:color="000000"/>
            </w:tcBorders>
          </w:tcPr>
          <w:p w14:paraId="139A9F22" w14:textId="77777777" w:rsidR="00190577" w:rsidRPr="00190577" w:rsidRDefault="00190577" w:rsidP="00190577">
            <w:pPr>
              <w:spacing w:after="0" w:line="140" w:lineRule="exact"/>
              <w:rPr>
                <w:rFonts w:ascii="Times New Roman" w:eastAsia="Times New Roman" w:hAnsi="Times New Roman" w:cs="Times New Roman"/>
                <w:sz w:val="14"/>
                <w:szCs w:val="14"/>
                <w:lang w:val="en-US" w:eastAsia="en-GB"/>
              </w:rPr>
            </w:pPr>
          </w:p>
          <w:p w14:paraId="2DD79BF1"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23</w:t>
            </w:r>
          </w:p>
        </w:tc>
        <w:tc>
          <w:tcPr>
            <w:tcW w:w="1985" w:type="dxa"/>
            <w:tcBorders>
              <w:top w:val="single" w:sz="5" w:space="0" w:color="000000"/>
              <w:left w:val="single" w:sz="5" w:space="0" w:color="000000"/>
              <w:bottom w:val="single" w:sz="5" w:space="0" w:color="000000"/>
              <w:right w:val="single" w:sz="5" w:space="0" w:color="000000"/>
            </w:tcBorders>
            <w:vAlign w:val="center"/>
          </w:tcPr>
          <w:p w14:paraId="4386360E" w14:textId="77777777" w:rsidR="00190577" w:rsidRPr="00190577" w:rsidRDefault="00190577" w:rsidP="00190577">
            <w:pPr>
              <w:spacing w:after="0" w:line="140" w:lineRule="exact"/>
              <w:rPr>
                <w:rFonts w:ascii="Arial" w:eastAsia="Times New Roman" w:hAnsi="Arial" w:cs="Arial"/>
                <w:sz w:val="20"/>
                <w:szCs w:val="20"/>
                <w:lang w:val="en-US" w:eastAsia="en-GB"/>
              </w:rPr>
            </w:pPr>
          </w:p>
          <w:p w14:paraId="0ED49832"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Arial" w:hAnsi="Arial" w:cs="Arial"/>
                <w:sz w:val="20"/>
                <w:szCs w:val="20"/>
                <w:lang w:val="en-US" w:eastAsia="en-GB"/>
              </w:rPr>
              <w:t>£80,472</w:t>
            </w:r>
          </w:p>
        </w:tc>
        <w:tc>
          <w:tcPr>
            <w:tcW w:w="1843" w:type="dxa"/>
            <w:tcBorders>
              <w:top w:val="single" w:sz="5" w:space="0" w:color="000000"/>
              <w:left w:val="single" w:sz="5" w:space="0" w:color="000000"/>
              <w:bottom w:val="single" w:sz="5" w:space="0" w:color="000000"/>
              <w:right w:val="single" w:sz="5" w:space="0" w:color="000000"/>
            </w:tcBorders>
          </w:tcPr>
          <w:p w14:paraId="0CDF793A" w14:textId="77777777" w:rsidR="00190577" w:rsidRPr="00190577" w:rsidRDefault="00190577" w:rsidP="00190577">
            <w:pPr>
              <w:spacing w:after="0" w:line="140" w:lineRule="exact"/>
              <w:rPr>
                <w:rFonts w:ascii="Times New Roman" w:eastAsia="Times New Roman" w:hAnsi="Times New Roman" w:cs="Times New Roman"/>
                <w:sz w:val="14"/>
                <w:szCs w:val="14"/>
                <w:lang w:val="en-US" w:eastAsia="en-GB"/>
              </w:rPr>
            </w:pPr>
          </w:p>
          <w:p w14:paraId="743A6F59"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75</w:t>
            </w:r>
            <w:r w:rsidRPr="00190577">
              <w:rPr>
                <w:rFonts w:ascii="Arial" w:eastAsia="Arial" w:hAnsi="Arial" w:cs="Arial"/>
                <w:spacing w:val="2"/>
                <w:sz w:val="20"/>
                <w:szCs w:val="20"/>
                <w:lang w:val="en-US" w:eastAsia="en-GB"/>
              </w:rPr>
              <w:t>,842</w:t>
            </w:r>
          </w:p>
        </w:tc>
        <w:tc>
          <w:tcPr>
            <w:tcW w:w="1842" w:type="dxa"/>
            <w:gridSpan w:val="2"/>
            <w:tcBorders>
              <w:top w:val="single" w:sz="5" w:space="0" w:color="000000"/>
              <w:left w:val="single" w:sz="5" w:space="0" w:color="000000"/>
              <w:bottom w:val="single" w:sz="5" w:space="0" w:color="000000"/>
              <w:right w:val="single" w:sz="5" w:space="0" w:color="000000"/>
            </w:tcBorders>
          </w:tcPr>
          <w:p w14:paraId="00CE9BE7" w14:textId="77777777" w:rsidR="00190577" w:rsidRPr="00190577" w:rsidRDefault="00190577" w:rsidP="00190577">
            <w:pPr>
              <w:spacing w:after="0" w:line="140" w:lineRule="exact"/>
              <w:rPr>
                <w:rFonts w:ascii="Times New Roman" w:eastAsia="Times New Roman" w:hAnsi="Times New Roman" w:cs="Times New Roman"/>
                <w:sz w:val="14"/>
                <w:szCs w:val="14"/>
                <w:lang w:val="en-US" w:eastAsia="en-GB"/>
              </w:rPr>
            </w:pPr>
          </w:p>
          <w:p w14:paraId="113F960F"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Arial" w:eastAsia="Arial" w:hAnsi="Arial" w:cs="Arial"/>
                <w:sz w:val="20"/>
                <w:szCs w:val="20"/>
                <w:lang w:val="en-US" w:eastAsia="en-GB"/>
              </w:rPr>
              <w:t>£73,661</w:t>
            </w:r>
          </w:p>
        </w:tc>
      </w:tr>
      <w:tr w:rsidR="00190577" w:rsidRPr="00190577" w14:paraId="238198D8" w14:textId="77777777" w:rsidTr="00190577">
        <w:trPr>
          <w:trHeight w:hRule="exact" w:val="448"/>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0C9A03C5" w14:textId="77777777" w:rsidR="00190577" w:rsidRPr="00190577" w:rsidRDefault="00190577" w:rsidP="00190577">
            <w:pPr>
              <w:spacing w:before="10" w:after="0" w:line="120" w:lineRule="exact"/>
              <w:rPr>
                <w:rFonts w:ascii="Times New Roman" w:eastAsia="Times New Roman" w:hAnsi="Times New Roman" w:cs="Times New Roman"/>
                <w:sz w:val="12"/>
                <w:szCs w:val="12"/>
                <w:lang w:val="en-US" w:eastAsia="en-GB"/>
              </w:rPr>
            </w:pPr>
          </w:p>
          <w:p w14:paraId="0B8F45C8"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24</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74B964" w14:textId="77777777" w:rsidR="00190577" w:rsidRPr="00190577" w:rsidRDefault="00190577" w:rsidP="00190577">
            <w:pPr>
              <w:spacing w:before="10" w:after="0" w:line="120" w:lineRule="exact"/>
              <w:rPr>
                <w:rFonts w:ascii="Arial" w:eastAsia="Times New Roman" w:hAnsi="Arial" w:cs="Arial"/>
                <w:sz w:val="20"/>
                <w:szCs w:val="20"/>
                <w:lang w:val="en-US" w:eastAsia="en-GB"/>
              </w:rPr>
            </w:pPr>
          </w:p>
          <w:p w14:paraId="22F8D97E"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Arial" w:hAnsi="Arial" w:cs="Arial"/>
                <w:sz w:val="20"/>
                <w:szCs w:val="20"/>
                <w:lang w:val="en-US" w:eastAsia="en-GB"/>
              </w:rPr>
              <w:t>£82,277</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3FBC7809" w14:textId="77777777" w:rsidR="00190577" w:rsidRPr="00190577" w:rsidRDefault="00190577" w:rsidP="00190577">
            <w:pPr>
              <w:spacing w:before="10" w:after="0" w:line="120" w:lineRule="exact"/>
              <w:rPr>
                <w:rFonts w:ascii="Times New Roman" w:eastAsia="Times New Roman" w:hAnsi="Times New Roman" w:cs="Times New Roman"/>
                <w:sz w:val="12"/>
                <w:szCs w:val="12"/>
                <w:lang w:val="en-US" w:eastAsia="en-GB"/>
              </w:rPr>
            </w:pPr>
          </w:p>
          <w:p w14:paraId="3C55D320"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£77,643</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tcPr>
          <w:p w14:paraId="43915502" w14:textId="77777777" w:rsidR="00190577" w:rsidRPr="00190577" w:rsidRDefault="00190577" w:rsidP="00190577">
            <w:pPr>
              <w:spacing w:before="10" w:after="0" w:line="120" w:lineRule="exact"/>
              <w:rPr>
                <w:rFonts w:ascii="Times New Roman" w:eastAsia="Times New Roman" w:hAnsi="Times New Roman" w:cs="Times New Roman"/>
                <w:sz w:val="12"/>
                <w:szCs w:val="12"/>
                <w:lang w:val="en-US" w:eastAsia="en-GB"/>
              </w:rPr>
            </w:pPr>
          </w:p>
          <w:p w14:paraId="3976F429"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75</w:t>
            </w:r>
            <w:r w:rsidRPr="00190577">
              <w:rPr>
                <w:rFonts w:ascii="Arial" w:eastAsia="Arial" w:hAnsi="Arial" w:cs="Arial"/>
                <w:spacing w:val="2"/>
                <w:sz w:val="20"/>
                <w:szCs w:val="20"/>
                <w:lang w:val="en-US" w:eastAsia="en-GB"/>
              </w:rPr>
              <w:t>,466</w:t>
            </w:r>
          </w:p>
        </w:tc>
      </w:tr>
      <w:tr w:rsidR="00190577" w:rsidRPr="00190577" w14:paraId="6B591F37" w14:textId="77777777" w:rsidTr="00190577">
        <w:trPr>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3DD1690A"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25B784EB"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25</w:t>
            </w:r>
          </w:p>
        </w:tc>
        <w:tc>
          <w:tcPr>
            <w:tcW w:w="1985" w:type="dxa"/>
            <w:tcBorders>
              <w:top w:val="single" w:sz="5" w:space="0" w:color="000000"/>
              <w:left w:val="single" w:sz="5" w:space="0" w:color="000000"/>
              <w:bottom w:val="single" w:sz="5" w:space="0" w:color="000000"/>
              <w:right w:val="single" w:sz="5" w:space="0" w:color="000000"/>
            </w:tcBorders>
            <w:vAlign w:val="center"/>
          </w:tcPr>
          <w:p w14:paraId="0C72EE83" w14:textId="77777777" w:rsidR="00190577" w:rsidRPr="00190577" w:rsidRDefault="00190577" w:rsidP="00190577">
            <w:pPr>
              <w:spacing w:before="5" w:after="0" w:line="140" w:lineRule="exact"/>
              <w:rPr>
                <w:rFonts w:ascii="Arial" w:eastAsia="Times New Roman" w:hAnsi="Arial" w:cs="Arial"/>
                <w:sz w:val="20"/>
                <w:szCs w:val="20"/>
                <w:lang w:val="en-US" w:eastAsia="en-GB"/>
              </w:rPr>
            </w:pPr>
          </w:p>
          <w:p w14:paraId="3034C17A"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Arial" w:hAnsi="Arial" w:cs="Arial"/>
                <w:sz w:val="20"/>
                <w:szCs w:val="20"/>
                <w:lang w:val="en-US" w:eastAsia="en-GB"/>
              </w:rPr>
              <w:t>£84,119</w:t>
            </w:r>
          </w:p>
        </w:tc>
        <w:tc>
          <w:tcPr>
            <w:tcW w:w="1843" w:type="dxa"/>
            <w:tcBorders>
              <w:top w:val="single" w:sz="5" w:space="0" w:color="000000"/>
              <w:left w:val="single" w:sz="5" w:space="0" w:color="000000"/>
              <w:bottom w:val="single" w:sz="5" w:space="0" w:color="000000"/>
              <w:right w:val="single" w:sz="5" w:space="0" w:color="000000"/>
            </w:tcBorders>
            <w:vAlign w:val="center"/>
          </w:tcPr>
          <w:p w14:paraId="72EF2D66"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£79,489</w:t>
            </w:r>
          </w:p>
        </w:tc>
        <w:tc>
          <w:tcPr>
            <w:tcW w:w="1842" w:type="dxa"/>
            <w:gridSpan w:val="2"/>
            <w:tcBorders>
              <w:top w:val="single" w:sz="5" w:space="0" w:color="000000"/>
              <w:left w:val="single" w:sz="5" w:space="0" w:color="000000"/>
              <w:bottom w:val="single" w:sz="5" w:space="0" w:color="000000"/>
              <w:right w:val="single" w:sz="5" w:space="0" w:color="000000"/>
            </w:tcBorders>
          </w:tcPr>
          <w:p w14:paraId="5CAD9837"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0AB5610E"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Arial" w:eastAsia="Arial" w:hAnsi="Arial" w:cs="Arial"/>
                <w:sz w:val="20"/>
                <w:szCs w:val="20"/>
                <w:lang w:val="en-US" w:eastAsia="en-GB"/>
              </w:rPr>
              <w:t>£77,037</w:t>
            </w:r>
          </w:p>
        </w:tc>
      </w:tr>
      <w:tr w:rsidR="00190577" w:rsidRPr="00190577" w14:paraId="50225395"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550F659C"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4AB9E96A"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26</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3C55E2" w14:textId="77777777" w:rsidR="00190577" w:rsidRPr="00190577" w:rsidRDefault="00190577" w:rsidP="00190577">
            <w:pPr>
              <w:spacing w:before="4" w:after="0" w:line="120" w:lineRule="exact"/>
              <w:rPr>
                <w:rFonts w:ascii="Arial" w:eastAsia="Times New Roman" w:hAnsi="Arial" w:cs="Arial"/>
                <w:sz w:val="20"/>
                <w:szCs w:val="20"/>
                <w:lang w:val="en-US" w:eastAsia="en-GB"/>
              </w:rPr>
            </w:pPr>
          </w:p>
          <w:p w14:paraId="7AB798CA"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Arial" w:hAnsi="Arial" w:cs="Arial"/>
                <w:sz w:val="20"/>
                <w:szCs w:val="20"/>
                <w:lang w:val="en-US" w:eastAsia="en-GB"/>
              </w:rPr>
              <w:t>£86,001</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706D677B"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3027BB51"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£81,372</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F49DFF9"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£79,195</w:t>
            </w:r>
          </w:p>
        </w:tc>
      </w:tr>
      <w:tr w:rsidR="00190577" w:rsidRPr="00190577" w14:paraId="152EE487" w14:textId="77777777" w:rsidTr="00190577">
        <w:trPr>
          <w:trHeight w:hRule="exact" w:val="467"/>
        </w:trPr>
        <w:tc>
          <w:tcPr>
            <w:tcW w:w="1701" w:type="dxa"/>
            <w:tcBorders>
              <w:top w:val="single" w:sz="5" w:space="0" w:color="000000"/>
              <w:left w:val="single" w:sz="5" w:space="0" w:color="000000"/>
              <w:bottom w:val="single" w:sz="5" w:space="0" w:color="000000"/>
              <w:right w:val="single" w:sz="5" w:space="0" w:color="000000"/>
            </w:tcBorders>
          </w:tcPr>
          <w:p w14:paraId="4FED6C58" w14:textId="77777777" w:rsidR="00190577" w:rsidRPr="00190577" w:rsidRDefault="00190577" w:rsidP="00190577">
            <w:pPr>
              <w:spacing w:after="0" w:line="140" w:lineRule="exact"/>
              <w:rPr>
                <w:rFonts w:ascii="Times New Roman" w:eastAsia="Times New Roman" w:hAnsi="Times New Roman" w:cs="Times New Roman"/>
                <w:sz w:val="14"/>
                <w:szCs w:val="14"/>
                <w:lang w:val="en-US" w:eastAsia="en-GB"/>
              </w:rPr>
            </w:pPr>
          </w:p>
          <w:p w14:paraId="6262576A"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27</w:t>
            </w:r>
          </w:p>
        </w:tc>
        <w:tc>
          <w:tcPr>
            <w:tcW w:w="1985" w:type="dxa"/>
            <w:tcBorders>
              <w:top w:val="single" w:sz="5" w:space="0" w:color="000000"/>
              <w:left w:val="single" w:sz="5" w:space="0" w:color="000000"/>
              <w:bottom w:val="single" w:sz="5" w:space="0" w:color="000000"/>
              <w:right w:val="single" w:sz="5" w:space="0" w:color="000000"/>
            </w:tcBorders>
            <w:vAlign w:val="center"/>
          </w:tcPr>
          <w:p w14:paraId="71C0697A"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£87,933</w:t>
            </w:r>
          </w:p>
        </w:tc>
        <w:tc>
          <w:tcPr>
            <w:tcW w:w="1843" w:type="dxa"/>
            <w:tcBorders>
              <w:top w:val="single" w:sz="5" w:space="0" w:color="000000"/>
              <w:left w:val="single" w:sz="5" w:space="0" w:color="000000"/>
              <w:bottom w:val="single" w:sz="5" w:space="0" w:color="000000"/>
              <w:right w:val="single" w:sz="5" w:space="0" w:color="000000"/>
            </w:tcBorders>
          </w:tcPr>
          <w:p w14:paraId="7D9B63B4"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4D4CF04B"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£83</w:t>
            </w:r>
            <w:r w:rsidRPr="00190577">
              <w:rPr>
                <w:rFonts w:ascii="Arial" w:eastAsia="Arial" w:hAnsi="Arial" w:cs="Arial"/>
                <w:spacing w:val="2"/>
                <w:sz w:val="20"/>
                <w:szCs w:val="20"/>
                <w:lang w:val="en-US" w:eastAsia="en-GB"/>
              </w:rPr>
              <w:t>,305</w:t>
            </w:r>
          </w:p>
        </w:tc>
        <w:tc>
          <w:tcPr>
            <w:tcW w:w="1842" w:type="dxa"/>
            <w:gridSpan w:val="2"/>
            <w:tcBorders>
              <w:top w:val="single" w:sz="5" w:space="0" w:color="000000"/>
              <w:left w:val="single" w:sz="5" w:space="0" w:color="000000"/>
              <w:bottom w:val="single" w:sz="5" w:space="0" w:color="000000"/>
              <w:right w:val="single" w:sz="5" w:space="0" w:color="000000"/>
            </w:tcBorders>
            <w:vAlign w:val="center"/>
          </w:tcPr>
          <w:p w14:paraId="1BAB497C"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£81,124</w:t>
            </w:r>
          </w:p>
        </w:tc>
      </w:tr>
      <w:tr w:rsidR="00190577" w:rsidRPr="00190577" w14:paraId="218C9693"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4301D7A6"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38BAD585"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28</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9E1D77"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£89,919</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36DD4961" w14:textId="77777777" w:rsidR="00190577" w:rsidRPr="00190577" w:rsidRDefault="00190577" w:rsidP="00190577">
            <w:pPr>
              <w:spacing w:after="0" w:line="140" w:lineRule="exact"/>
              <w:rPr>
                <w:rFonts w:ascii="Times New Roman" w:eastAsia="Times New Roman" w:hAnsi="Times New Roman" w:cs="Times New Roman"/>
                <w:sz w:val="14"/>
                <w:szCs w:val="14"/>
                <w:lang w:val="en-US" w:eastAsia="en-GB"/>
              </w:rPr>
            </w:pPr>
          </w:p>
          <w:p w14:paraId="6254DE7C"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£85,290</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E8297D"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£83,105</w:t>
            </w:r>
          </w:p>
        </w:tc>
      </w:tr>
      <w:tr w:rsidR="00190577" w:rsidRPr="00190577" w14:paraId="246A09BF" w14:textId="77777777" w:rsidTr="00190577">
        <w:trPr>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29794A1D"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2D1D03AB"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29</w:t>
            </w:r>
          </w:p>
        </w:tc>
        <w:tc>
          <w:tcPr>
            <w:tcW w:w="1985" w:type="dxa"/>
            <w:tcBorders>
              <w:top w:val="single" w:sz="5" w:space="0" w:color="000000"/>
              <w:left w:val="single" w:sz="5" w:space="0" w:color="000000"/>
              <w:bottom w:val="single" w:sz="5" w:space="0" w:color="000000"/>
              <w:right w:val="single" w:sz="5" w:space="0" w:color="000000"/>
            </w:tcBorders>
            <w:vAlign w:val="center"/>
          </w:tcPr>
          <w:p w14:paraId="4D227563"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£91,953</w:t>
            </w:r>
          </w:p>
        </w:tc>
        <w:tc>
          <w:tcPr>
            <w:tcW w:w="1843" w:type="dxa"/>
            <w:tcBorders>
              <w:top w:val="single" w:sz="5" w:space="0" w:color="000000"/>
              <w:left w:val="single" w:sz="5" w:space="0" w:color="000000"/>
              <w:bottom w:val="single" w:sz="5" w:space="0" w:color="000000"/>
              <w:right w:val="single" w:sz="5" w:space="0" w:color="000000"/>
            </w:tcBorders>
          </w:tcPr>
          <w:p w14:paraId="3DFE2EA2"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5B4FC442"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£87,316</w:t>
            </w:r>
          </w:p>
        </w:tc>
        <w:tc>
          <w:tcPr>
            <w:tcW w:w="1842" w:type="dxa"/>
            <w:gridSpan w:val="2"/>
            <w:tcBorders>
              <w:top w:val="single" w:sz="5" w:space="0" w:color="000000"/>
              <w:left w:val="single" w:sz="5" w:space="0" w:color="000000"/>
              <w:bottom w:val="single" w:sz="5" w:space="0" w:color="000000"/>
              <w:right w:val="single" w:sz="5" w:space="0" w:color="000000"/>
            </w:tcBorders>
            <w:vAlign w:val="center"/>
          </w:tcPr>
          <w:p w14:paraId="1E28F5CA"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£85,139</w:t>
            </w:r>
          </w:p>
        </w:tc>
      </w:tr>
      <w:tr w:rsidR="00190577" w:rsidRPr="00190577" w14:paraId="5DB7C426"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1304A32E"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33F4D76E"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30</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F967E2"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£94,039</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45132989"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0B2D3DD8"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£89,406</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1AA4F79"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£87,221</w:t>
            </w:r>
          </w:p>
        </w:tc>
      </w:tr>
      <w:tr w:rsidR="00190577" w:rsidRPr="00190577" w14:paraId="45347DBE" w14:textId="77777777" w:rsidTr="00190577">
        <w:trPr>
          <w:trHeight w:hRule="exact" w:val="468"/>
        </w:trPr>
        <w:tc>
          <w:tcPr>
            <w:tcW w:w="1701" w:type="dxa"/>
            <w:tcBorders>
              <w:top w:val="single" w:sz="5" w:space="0" w:color="000000"/>
              <w:left w:val="single" w:sz="5" w:space="0" w:color="000000"/>
              <w:bottom w:val="single" w:sz="5" w:space="0" w:color="000000"/>
              <w:right w:val="single" w:sz="5" w:space="0" w:color="000000"/>
            </w:tcBorders>
          </w:tcPr>
          <w:p w14:paraId="6DECD4EC" w14:textId="77777777" w:rsidR="00190577" w:rsidRPr="00190577" w:rsidRDefault="00190577" w:rsidP="00190577">
            <w:pPr>
              <w:spacing w:after="0" w:line="140" w:lineRule="exact"/>
              <w:rPr>
                <w:rFonts w:ascii="Times New Roman" w:eastAsia="Times New Roman" w:hAnsi="Times New Roman" w:cs="Times New Roman"/>
                <w:sz w:val="14"/>
                <w:szCs w:val="14"/>
                <w:lang w:val="en-US" w:eastAsia="en-GB"/>
              </w:rPr>
            </w:pPr>
          </w:p>
          <w:p w14:paraId="31B149E3"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31</w:t>
            </w:r>
          </w:p>
        </w:tc>
        <w:tc>
          <w:tcPr>
            <w:tcW w:w="1985" w:type="dxa"/>
            <w:tcBorders>
              <w:top w:val="single" w:sz="5" w:space="0" w:color="000000"/>
              <w:left w:val="single" w:sz="5" w:space="0" w:color="000000"/>
              <w:bottom w:val="single" w:sz="5" w:space="0" w:color="000000"/>
              <w:right w:val="single" w:sz="5" w:space="0" w:color="000000"/>
            </w:tcBorders>
            <w:vAlign w:val="center"/>
          </w:tcPr>
          <w:p w14:paraId="796C4F85"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£96,168</w:t>
            </w:r>
          </w:p>
        </w:tc>
        <w:tc>
          <w:tcPr>
            <w:tcW w:w="1843" w:type="dxa"/>
            <w:tcBorders>
              <w:top w:val="single" w:sz="5" w:space="0" w:color="000000"/>
              <w:left w:val="single" w:sz="5" w:space="0" w:color="000000"/>
              <w:bottom w:val="single" w:sz="5" w:space="0" w:color="000000"/>
              <w:right w:val="single" w:sz="5" w:space="0" w:color="000000"/>
            </w:tcBorders>
          </w:tcPr>
          <w:p w14:paraId="4B339B26"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15D3E822"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£91,539</w:t>
            </w:r>
          </w:p>
        </w:tc>
        <w:tc>
          <w:tcPr>
            <w:tcW w:w="1842" w:type="dxa"/>
            <w:gridSpan w:val="2"/>
            <w:tcBorders>
              <w:top w:val="single" w:sz="5" w:space="0" w:color="000000"/>
              <w:left w:val="single" w:sz="5" w:space="0" w:color="000000"/>
              <w:bottom w:val="single" w:sz="5" w:space="0" w:color="000000"/>
              <w:right w:val="single" w:sz="5" w:space="0" w:color="000000"/>
            </w:tcBorders>
            <w:vAlign w:val="center"/>
          </w:tcPr>
          <w:p w14:paraId="7D7D2655"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£89,357</w:t>
            </w:r>
          </w:p>
        </w:tc>
      </w:tr>
      <w:tr w:rsidR="00190577" w:rsidRPr="00190577" w14:paraId="616C4F10"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09C8CD66"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777C80B1"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32</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6200CE"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£98,355</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10C5DE71" w14:textId="77777777" w:rsidR="00190577" w:rsidRPr="00190577" w:rsidRDefault="00190577" w:rsidP="00190577">
            <w:pPr>
              <w:spacing w:after="0" w:line="140" w:lineRule="exact"/>
              <w:rPr>
                <w:rFonts w:ascii="Times New Roman" w:eastAsia="Times New Roman" w:hAnsi="Times New Roman" w:cs="Times New Roman"/>
                <w:sz w:val="14"/>
                <w:szCs w:val="14"/>
                <w:lang w:val="en-US" w:eastAsia="en-GB"/>
              </w:rPr>
            </w:pPr>
          </w:p>
          <w:p w14:paraId="11F3556B"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£93,724</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F209E79"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£91,549</w:t>
            </w:r>
          </w:p>
        </w:tc>
      </w:tr>
      <w:tr w:rsidR="00190577" w:rsidRPr="00190577" w14:paraId="0EB3485E" w14:textId="77777777" w:rsidTr="00190577">
        <w:trPr>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1322011E"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1A918962"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33</w:t>
            </w:r>
          </w:p>
        </w:tc>
        <w:tc>
          <w:tcPr>
            <w:tcW w:w="1985" w:type="dxa"/>
            <w:tcBorders>
              <w:top w:val="single" w:sz="5" w:space="0" w:color="000000"/>
              <w:left w:val="single" w:sz="5" w:space="0" w:color="000000"/>
              <w:bottom w:val="single" w:sz="5" w:space="0" w:color="000000"/>
              <w:right w:val="single" w:sz="5" w:space="0" w:color="000000"/>
            </w:tcBorders>
            <w:vAlign w:val="center"/>
          </w:tcPr>
          <w:p w14:paraId="5C5031E4"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£100,604</w:t>
            </w:r>
          </w:p>
        </w:tc>
        <w:tc>
          <w:tcPr>
            <w:tcW w:w="1843" w:type="dxa"/>
            <w:tcBorders>
              <w:top w:val="single" w:sz="5" w:space="0" w:color="000000"/>
              <w:left w:val="single" w:sz="5" w:space="0" w:color="000000"/>
              <w:bottom w:val="single" w:sz="5" w:space="0" w:color="000000"/>
              <w:right w:val="single" w:sz="5" w:space="0" w:color="000000"/>
            </w:tcBorders>
          </w:tcPr>
          <w:p w14:paraId="0B96E800"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374EF841"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£95,975</w:t>
            </w:r>
          </w:p>
        </w:tc>
        <w:tc>
          <w:tcPr>
            <w:tcW w:w="1842" w:type="dxa"/>
            <w:gridSpan w:val="2"/>
            <w:tcBorders>
              <w:top w:val="single" w:sz="5" w:space="0" w:color="000000"/>
              <w:left w:val="single" w:sz="5" w:space="0" w:color="000000"/>
              <w:bottom w:val="single" w:sz="5" w:space="0" w:color="000000"/>
              <w:right w:val="single" w:sz="5" w:space="0" w:color="000000"/>
            </w:tcBorders>
            <w:vAlign w:val="center"/>
          </w:tcPr>
          <w:p w14:paraId="6B96AE8D"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£93,795</w:t>
            </w:r>
          </w:p>
        </w:tc>
      </w:tr>
      <w:tr w:rsidR="00190577" w:rsidRPr="00190577" w14:paraId="18FE9710"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0EEBFC6B"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0E3F462D"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34</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73F3C1"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£102,894</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775B10EC"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7BA51774"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£98,263</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81C8BC"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£96,083</w:t>
            </w:r>
          </w:p>
        </w:tc>
      </w:tr>
      <w:tr w:rsidR="00190577" w:rsidRPr="00190577" w14:paraId="62D60E54" w14:textId="77777777" w:rsidTr="00190577">
        <w:trPr>
          <w:trHeight w:hRule="exact" w:val="467"/>
        </w:trPr>
        <w:tc>
          <w:tcPr>
            <w:tcW w:w="1701" w:type="dxa"/>
            <w:tcBorders>
              <w:top w:val="single" w:sz="5" w:space="0" w:color="000000"/>
              <w:left w:val="single" w:sz="5" w:space="0" w:color="000000"/>
              <w:bottom w:val="single" w:sz="5" w:space="0" w:color="000000"/>
              <w:right w:val="single" w:sz="5" w:space="0" w:color="000000"/>
            </w:tcBorders>
          </w:tcPr>
          <w:p w14:paraId="79F5EE37" w14:textId="77777777" w:rsidR="00190577" w:rsidRPr="00190577" w:rsidRDefault="00190577" w:rsidP="00190577">
            <w:pPr>
              <w:spacing w:before="8" w:after="0" w:line="120" w:lineRule="exact"/>
              <w:rPr>
                <w:rFonts w:ascii="Times New Roman" w:eastAsia="Times New Roman" w:hAnsi="Times New Roman" w:cs="Times New Roman"/>
                <w:sz w:val="13"/>
                <w:szCs w:val="13"/>
                <w:lang w:val="en-US" w:eastAsia="en-GB"/>
              </w:rPr>
            </w:pPr>
          </w:p>
          <w:p w14:paraId="6AC0B707"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35</w:t>
            </w:r>
          </w:p>
        </w:tc>
        <w:tc>
          <w:tcPr>
            <w:tcW w:w="1985" w:type="dxa"/>
            <w:tcBorders>
              <w:top w:val="single" w:sz="5" w:space="0" w:color="000000"/>
              <w:left w:val="single" w:sz="5" w:space="0" w:color="000000"/>
              <w:bottom w:val="single" w:sz="5" w:space="0" w:color="000000"/>
              <w:right w:val="single" w:sz="5" w:space="0" w:color="000000"/>
            </w:tcBorders>
            <w:vAlign w:val="center"/>
          </w:tcPr>
          <w:p w14:paraId="7E3A7BE7" w14:textId="77777777" w:rsidR="00190577" w:rsidRPr="00190577" w:rsidRDefault="00190577" w:rsidP="00190577">
            <w:pPr>
              <w:spacing w:after="0" w:line="240" w:lineRule="auto"/>
              <w:ind w:left="577"/>
              <w:rPr>
                <w:rFonts w:ascii="Arial" w:eastAsia="Arial" w:hAnsi="Arial" w:cs="Arial"/>
                <w:sz w:val="20"/>
                <w:szCs w:val="20"/>
                <w:lang w:val="en-US" w:eastAsia="en-GB"/>
              </w:rPr>
            </w:pPr>
            <w:r w:rsidRPr="00190577">
              <w:rPr>
                <w:rFonts w:ascii="Arial" w:eastAsia="Calibri" w:hAnsi="Arial" w:cs="Arial"/>
                <w:sz w:val="20"/>
                <w:szCs w:val="20"/>
                <w:lang w:eastAsia="en-GB"/>
              </w:rPr>
              <w:t>£105,253</w:t>
            </w:r>
          </w:p>
        </w:tc>
        <w:tc>
          <w:tcPr>
            <w:tcW w:w="1843" w:type="dxa"/>
            <w:tcBorders>
              <w:top w:val="single" w:sz="5" w:space="0" w:color="000000"/>
              <w:left w:val="single" w:sz="5" w:space="0" w:color="000000"/>
              <w:bottom w:val="single" w:sz="5" w:space="0" w:color="000000"/>
              <w:right w:val="single" w:sz="5" w:space="0" w:color="000000"/>
            </w:tcBorders>
          </w:tcPr>
          <w:p w14:paraId="24B0507E"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1B0CCA1E"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£100,620</w:t>
            </w:r>
          </w:p>
        </w:tc>
        <w:tc>
          <w:tcPr>
            <w:tcW w:w="1842" w:type="dxa"/>
            <w:gridSpan w:val="2"/>
            <w:tcBorders>
              <w:top w:val="single" w:sz="5" w:space="0" w:color="000000"/>
              <w:left w:val="single" w:sz="5" w:space="0" w:color="000000"/>
              <w:bottom w:val="single" w:sz="5" w:space="0" w:color="000000"/>
              <w:right w:val="single" w:sz="5" w:space="0" w:color="000000"/>
            </w:tcBorders>
            <w:vAlign w:val="center"/>
          </w:tcPr>
          <w:p w14:paraId="54B29A4B"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£98,443</w:t>
            </w:r>
          </w:p>
        </w:tc>
      </w:tr>
      <w:tr w:rsidR="00190577" w:rsidRPr="00190577" w14:paraId="1995FED5"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48F0999C"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5141E17E"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36</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748739"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Calibri" w:hAnsi="Arial" w:cs="Arial"/>
                <w:sz w:val="20"/>
                <w:szCs w:val="20"/>
                <w:lang w:eastAsia="en-GB"/>
              </w:rPr>
              <w:t>£107,658</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7C74777C" w14:textId="77777777" w:rsidR="00190577" w:rsidRPr="00190577" w:rsidRDefault="00190577" w:rsidP="00190577">
            <w:pPr>
              <w:spacing w:before="8" w:after="0" w:line="120" w:lineRule="exact"/>
              <w:rPr>
                <w:rFonts w:ascii="Times New Roman" w:eastAsia="Times New Roman" w:hAnsi="Times New Roman" w:cs="Times New Roman"/>
                <w:sz w:val="13"/>
                <w:szCs w:val="13"/>
                <w:lang w:val="en-US" w:eastAsia="en-GB"/>
              </w:rPr>
            </w:pPr>
          </w:p>
          <w:p w14:paraId="1B18D1D3"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£103,026</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365635"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£100,848</w:t>
            </w:r>
          </w:p>
        </w:tc>
      </w:tr>
      <w:tr w:rsidR="00190577" w:rsidRPr="00190577" w14:paraId="7BF61A1C" w14:textId="77777777" w:rsidTr="00190577">
        <w:trPr>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2A5DE11C" w14:textId="77777777" w:rsidR="00190577" w:rsidRPr="00190577" w:rsidRDefault="00190577" w:rsidP="00190577">
            <w:pPr>
              <w:spacing w:before="3" w:after="0" w:line="140" w:lineRule="exact"/>
              <w:rPr>
                <w:rFonts w:ascii="Times New Roman" w:eastAsia="Times New Roman" w:hAnsi="Times New Roman" w:cs="Times New Roman"/>
                <w:sz w:val="14"/>
                <w:szCs w:val="14"/>
                <w:lang w:val="en-US" w:eastAsia="en-GB"/>
              </w:rPr>
            </w:pPr>
          </w:p>
          <w:p w14:paraId="6E91BDB2"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37</w:t>
            </w:r>
          </w:p>
        </w:tc>
        <w:tc>
          <w:tcPr>
            <w:tcW w:w="1985" w:type="dxa"/>
            <w:tcBorders>
              <w:top w:val="single" w:sz="5" w:space="0" w:color="000000"/>
              <w:left w:val="single" w:sz="5" w:space="0" w:color="000000"/>
              <w:bottom w:val="single" w:sz="5" w:space="0" w:color="000000"/>
              <w:right w:val="single" w:sz="5" w:space="0" w:color="000000"/>
            </w:tcBorders>
            <w:vAlign w:val="center"/>
          </w:tcPr>
          <w:p w14:paraId="68273D4A"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Calibri" w:hAnsi="Arial" w:cs="Arial"/>
                <w:sz w:val="20"/>
                <w:szCs w:val="20"/>
                <w:lang w:eastAsia="en-GB"/>
              </w:rPr>
              <w:t>£110,142</w:t>
            </w:r>
          </w:p>
        </w:tc>
        <w:tc>
          <w:tcPr>
            <w:tcW w:w="1843" w:type="dxa"/>
            <w:tcBorders>
              <w:top w:val="single" w:sz="5" w:space="0" w:color="000000"/>
              <w:left w:val="single" w:sz="5" w:space="0" w:color="000000"/>
              <w:bottom w:val="single" w:sz="5" w:space="0" w:color="000000"/>
              <w:right w:val="single" w:sz="5" w:space="0" w:color="000000"/>
            </w:tcBorders>
          </w:tcPr>
          <w:p w14:paraId="446721D0"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438911E9" w14:textId="77777777" w:rsidR="00190577" w:rsidRPr="00190577" w:rsidRDefault="00190577" w:rsidP="00190577">
            <w:pPr>
              <w:spacing w:after="0" w:line="240" w:lineRule="auto"/>
              <w:ind w:left="532"/>
              <w:rPr>
                <w:rFonts w:ascii="Arial" w:eastAsia="Arial" w:hAnsi="Arial" w:cs="Arial"/>
                <w:sz w:val="20"/>
                <w:szCs w:val="20"/>
                <w:lang w:val="en-US" w:eastAsia="en-GB"/>
              </w:rPr>
            </w:pPr>
            <w:r w:rsidRPr="00190577">
              <w:rPr>
                <w:rFonts w:ascii="Arial" w:eastAsia="Arial" w:hAnsi="Arial" w:cs="Arial"/>
                <w:sz w:val="20"/>
                <w:szCs w:val="20"/>
                <w:lang w:val="en-US" w:eastAsia="en-GB"/>
              </w:rPr>
              <w:t>£105,509</w:t>
            </w:r>
          </w:p>
        </w:tc>
        <w:tc>
          <w:tcPr>
            <w:tcW w:w="1842" w:type="dxa"/>
            <w:gridSpan w:val="2"/>
            <w:tcBorders>
              <w:top w:val="single" w:sz="5" w:space="0" w:color="000000"/>
              <w:left w:val="single" w:sz="5" w:space="0" w:color="000000"/>
              <w:bottom w:val="single" w:sz="5" w:space="0" w:color="000000"/>
              <w:right w:val="single" w:sz="5" w:space="0" w:color="000000"/>
            </w:tcBorders>
            <w:vAlign w:val="center"/>
          </w:tcPr>
          <w:p w14:paraId="7C810051"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£103,327</w:t>
            </w:r>
          </w:p>
        </w:tc>
      </w:tr>
      <w:tr w:rsidR="00190577" w:rsidRPr="00190577" w14:paraId="1F3F424A"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2B549996"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6794DB3E"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38</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ABCBDD"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Calibri" w:hAnsi="Arial" w:cs="Arial"/>
                <w:sz w:val="20"/>
                <w:szCs w:val="20"/>
                <w:lang w:eastAsia="en-GB"/>
              </w:rPr>
              <w:t>£112,664</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5DB8BE2A" w14:textId="77777777" w:rsidR="00190577" w:rsidRPr="00190577" w:rsidRDefault="00190577" w:rsidP="00190577">
            <w:pPr>
              <w:spacing w:before="3" w:after="0" w:line="140" w:lineRule="exact"/>
              <w:rPr>
                <w:rFonts w:ascii="Times New Roman" w:eastAsia="Times New Roman" w:hAnsi="Times New Roman" w:cs="Times New Roman"/>
                <w:sz w:val="14"/>
                <w:szCs w:val="14"/>
                <w:lang w:val="en-US" w:eastAsia="en-GB"/>
              </w:rPr>
            </w:pPr>
          </w:p>
          <w:p w14:paraId="13644C25" w14:textId="77777777" w:rsidR="00190577" w:rsidRPr="00190577" w:rsidRDefault="00190577" w:rsidP="00190577">
            <w:pPr>
              <w:spacing w:after="0" w:line="240" w:lineRule="auto"/>
              <w:ind w:left="474"/>
              <w:rPr>
                <w:rFonts w:ascii="Arial" w:eastAsia="Arial" w:hAnsi="Arial" w:cs="Arial"/>
                <w:sz w:val="20"/>
                <w:szCs w:val="20"/>
                <w:lang w:val="en-US" w:eastAsia="en-GB"/>
              </w:rPr>
            </w:pPr>
            <w:r w:rsidRPr="00190577">
              <w:rPr>
                <w:rFonts w:ascii="Arial" w:eastAsia="Arial" w:hAnsi="Arial" w:cs="Arial"/>
                <w:sz w:val="20"/>
                <w:szCs w:val="20"/>
                <w:lang w:val="en-US" w:eastAsia="en-GB"/>
              </w:rPr>
              <w:t>£108,037</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9C9D6BA" w14:textId="77777777" w:rsidR="00190577" w:rsidRPr="00190577" w:rsidRDefault="00190577" w:rsidP="00190577">
            <w:pPr>
              <w:spacing w:after="0" w:line="240" w:lineRule="auto"/>
              <w:ind w:left="578"/>
              <w:rPr>
                <w:rFonts w:ascii="Arial" w:eastAsia="Arial" w:hAnsi="Arial" w:cs="Arial"/>
                <w:sz w:val="20"/>
                <w:szCs w:val="20"/>
                <w:lang w:val="en-US" w:eastAsia="en-GB"/>
              </w:rPr>
            </w:pPr>
            <w:r w:rsidRPr="00190577">
              <w:rPr>
                <w:rFonts w:ascii="Calibri" w:eastAsia="Calibri" w:hAnsi="Calibri" w:cs="Times New Roman"/>
                <w:lang w:eastAsia="en-GB"/>
              </w:rPr>
              <w:t>£105,855</w:t>
            </w:r>
          </w:p>
        </w:tc>
      </w:tr>
      <w:tr w:rsidR="00190577" w:rsidRPr="00190577" w14:paraId="2660C5BE" w14:textId="77777777" w:rsidTr="00190577">
        <w:trPr>
          <w:trHeight w:hRule="exact" w:val="446"/>
        </w:trPr>
        <w:tc>
          <w:tcPr>
            <w:tcW w:w="1701" w:type="dxa"/>
            <w:tcBorders>
              <w:top w:val="single" w:sz="5" w:space="0" w:color="000000"/>
              <w:left w:val="single" w:sz="5" w:space="0" w:color="000000"/>
              <w:bottom w:val="single" w:sz="5" w:space="0" w:color="000000"/>
              <w:right w:val="single" w:sz="5" w:space="0" w:color="000000"/>
            </w:tcBorders>
          </w:tcPr>
          <w:p w14:paraId="58DEC482" w14:textId="77777777" w:rsidR="00190577" w:rsidRPr="00190577" w:rsidRDefault="00190577" w:rsidP="00190577">
            <w:pPr>
              <w:spacing w:before="9" w:after="0" w:line="100" w:lineRule="exact"/>
              <w:rPr>
                <w:rFonts w:ascii="Times New Roman" w:eastAsia="Times New Roman" w:hAnsi="Times New Roman" w:cs="Times New Roman"/>
                <w:sz w:val="11"/>
                <w:szCs w:val="11"/>
                <w:lang w:val="en-US" w:eastAsia="en-GB"/>
              </w:rPr>
            </w:pPr>
          </w:p>
          <w:p w14:paraId="75258ED5"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39</w:t>
            </w:r>
          </w:p>
        </w:tc>
        <w:tc>
          <w:tcPr>
            <w:tcW w:w="1985" w:type="dxa"/>
            <w:tcBorders>
              <w:top w:val="single" w:sz="5" w:space="0" w:color="000000"/>
              <w:left w:val="single" w:sz="5" w:space="0" w:color="000000"/>
              <w:bottom w:val="single" w:sz="5" w:space="0" w:color="000000"/>
              <w:right w:val="single" w:sz="5" w:space="0" w:color="000000"/>
            </w:tcBorders>
            <w:vAlign w:val="center"/>
          </w:tcPr>
          <w:p w14:paraId="3CE578E4"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Calibri" w:hAnsi="Arial" w:cs="Arial"/>
                <w:sz w:val="20"/>
                <w:szCs w:val="20"/>
                <w:lang w:eastAsia="en-GB"/>
              </w:rPr>
              <w:t>£115,215</w:t>
            </w:r>
          </w:p>
        </w:tc>
        <w:tc>
          <w:tcPr>
            <w:tcW w:w="1843" w:type="dxa"/>
            <w:tcBorders>
              <w:top w:val="single" w:sz="5" w:space="0" w:color="000000"/>
              <w:left w:val="single" w:sz="5" w:space="0" w:color="000000"/>
              <w:bottom w:val="single" w:sz="5" w:space="0" w:color="000000"/>
              <w:right w:val="single" w:sz="5" w:space="0" w:color="000000"/>
            </w:tcBorders>
          </w:tcPr>
          <w:p w14:paraId="4A5B91E1" w14:textId="77777777" w:rsidR="00190577" w:rsidRPr="00190577" w:rsidRDefault="00190577" w:rsidP="00190577">
            <w:pPr>
              <w:spacing w:before="4" w:after="0" w:line="120" w:lineRule="exact"/>
              <w:rPr>
                <w:rFonts w:ascii="Times New Roman" w:eastAsia="Times New Roman" w:hAnsi="Times New Roman" w:cs="Times New Roman"/>
                <w:sz w:val="13"/>
                <w:szCs w:val="13"/>
                <w:lang w:val="en-US" w:eastAsia="en-GB"/>
              </w:rPr>
            </w:pPr>
          </w:p>
          <w:p w14:paraId="35F8306B" w14:textId="77777777" w:rsidR="00190577" w:rsidRPr="00190577" w:rsidRDefault="00190577" w:rsidP="00190577">
            <w:pPr>
              <w:spacing w:after="0" w:line="240" w:lineRule="auto"/>
              <w:ind w:left="474"/>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110</w:t>
            </w:r>
            <w:r w:rsidRPr="00190577">
              <w:rPr>
                <w:rFonts w:ascii="Arial" w:eastAsia="Arial" w:hAnsi="Arial" w:cs="Arial"/>
                <w:spacing w:val="1"/>
                <w:sz w:val="20"/>
                <w:szCs w:val="20"/>
                <w:lang w:val="en-US" w:eastAsia="en-GB"/>
              </w:rPr>
              <w:t>,584</w:t>
            </w:r>
          </w:p>
        </w:tc>
        <w:tc>
          <w:tcPr>
            <w:tcW w:w="1842" w:type="dxa"/>
            <w:gridSpan w:val="2"/>
            <w:tcBorders>
              <w:top w:val="single" w:sz="5" w:space="0" w:color="000000"/>
              <w:left w:val="single" w:sz="5" w:space="0" w:color="000000"/>
              <w:bottom w:val="single" w:sz="5" w:space="0" w:color="000000"/>
              <w:right w:val="single" w:sz="5" w:space="0" w:color="000000"/>
            </w:tcBorders>
            <w:vAlign w:val="center"/>
          </w:tcPr>
          <w:p w14:paraId="0D663DE2"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Calibri" w:eastAsia="Calibri" w:hAnsi="Calibri" w:cs="Times New Roman"/>
                <w:lang w:eastAsia="en-GB"/>
              </w:rPr>
              <w:t>£108,402</w:t>
            </w:r>
          </w:p>
        </w:tc>
      </w:tr>
      <w:tr w:rsidR="00190577" w:rsidRPr="00190577" w14:paraId="0792CD3E"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698EDE2A" w14:textId="77777777" w:rsidR="00190577" w:rsidRPr="00190577" w:rsidRDefault="00190577" w:rsidP="00190577">
            <w:pPr>
              <w:spacing w:before="6" w:after="0" w:line="120" w:lineRule="exact"/>
              <w:rPr>
                <w:rFonts w:ascii="Times New Roman" w:eastAsia="Times New Roman" w:hAnsi="Times New Roman" w:cs="Times New Roman"/>
                <w:sz w:val="13"/>
                <w:szCs w:val="13"/>
                <w:lang w:val="en-US" w:eastAsia="en-GB"/>
              </w:rPr>
            </w:pPr>
          </w:p>
          <w:p w14:paraId="28EDF0CA"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40</w:t>
            </w:r>
          </w:p>
        </w:tc>
        <w:tc>
          <w:tcPr>
            <w:tcW w:w="198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3B2EB4"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Calibri" w:hAnsi="Arial" w:cs="Arial"/>
                <w:sz w:val="20"/>
                <w:szCs w:val="20"/>
                <w:lang w:eastAsia="en-GB"/>
              </w:rPr>
              <w:t>£117,898</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387B8782" w14:textId="77777777" w:rsidR="00190577" w:rsidRPr="00190577" w:rsidRDefault="00190577" w:rsidP="00190577">
            <w:pPr>
              <w:spacing w:before="9" w:after="0" w:line="100" w:lineRule="exact"/>
              <w:rPr>
                <w:rFonts w:ascii="Times New Roman" w:eastAsia="Times New Roman" w:hAnsi="Times New Roman" w:cs="Times New Roman"/>
                <w:sz w:val="11"/>
                <w:szCs w:val="11"/>
                <w:lang w:val="en-US" w:eastAsia="en-GB"/>
              </w:rPr>
            </w:pPr>
          </w:p>
          <w:p w14:paraId="760A5114" w14:textId="77777777" w:rsidR="00190577" w:rsidRPr="00190577" w:rsidRDefault="00190577" w:rsidP="00190577">
            <w:pPr>
              <w:spacing w:after="0" w:line="240" w:lineRule="auto"/>
              <w:ind w:left="474"/>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113,266</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D557B7"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Calibri" w:eastAsia="Calibri" w:hAnsi="Calibri" w:cs="Times New Roman"/>
                <w:lang w:eastAsia="en-GB"/>
              </w:rPr>
              <w:t>£111,086</w:t>
            </w:r>
          </w:p>
        </w:tc>
      </w:tr>
      <w:tr w:rsidR="00190577" w:rsidRPr="00190577" w14:paraId="01239AB8" w14:textId="77777777" w:rsidTr="00190577">
        <w:trPr>
          <w:trHeight w:hRule="exact" w:val="472"/>
        </w:trPr>
        <w:tc>
          <w:tcPr>
            <w:tcW w:w="1701" w:type="dxa"/>
            <w:tcBorders>
              <w:top w:val="single" w:sz="5" w:space="0" w:color="000000"/>
              <w:left w:val="single" w:sz="5" w:space="0" w:color="000000"/>
              <w:bottom w:val="single" w:sz="5" w:space="0" w:color="000000"/>
              <w:right w:val="single" w:sz="5" w:space="0" w:color="000000"/>
            </w:tcBorders>
          </w:tcPr>
          <w:p w14:paraId="25D87B1F"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7CF8258E"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41</w:t>
            </w:r>
          </w:p>
        </w:tc>
        <w:tc>
          <w:tcPr>
            <w:tcW w:w="1985" w:type="dxa"/>
            <w:tcBorders>
              <w:top w:val="single" w:sz="5" w:space="0" w:color="000000"/>
              <w:left w:val="single" w:sz="5" w:space="0" w:color="000000"/>
              <w:bottom w:val="single" w:sz="5" w:space="0" w:color="000000"/>
              <w:right w:val="single" w:sz="5" w:space="0" w:color="000000"/>
            </w:tcBorders>
            <w:vAlign w:val="center"/>
          </w:tcPr>
          <w:p w14:paraId="56C5BBDC" w14:textId="77777777" w:rsidR="00190577" w:rsidRPr="00190577" w:rsidRDefault="00190577" w:rsidP="00190577">
            <w:pPr>
              <w:spacing w:before="5" w:after="0" w:line="140" w:lineRule="exact"/>
              <w:rPr>
                <w:rFonts w:ascii="Arial" w:eastAsia="Times New Roman" w:hAnsi="Arial" w:cs="Arial"/>
                <w:sz w:val="20"/>
                <w:szCs w:val="20"/>
                <w:lang w:val="en-US" w:eastAsia="en-GB"/>
              </w:rPr>
            </w:pPr>
          </w:p>
          <w:p w14:paraId="7AC4C9C0"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120,645</w:t>
            </w:r>
          </w:p>
        </w:tc>
        <w:tc>
          <w:tcPr>
            <w:tcW w:w="1843" w:type="dxa"/>
            <w:tcBorders>
              <w:top w:val="single" w:sz="5" w:space="0" w:color="000000"/>
              <w:left w:val="single" w:sz="5" w:space="0" w:color="000000"/>
              <w:bottom w:val="single" w:sz="5" w:space="0" w:color="000000"/>
              <w:right w:val="single" w:sz="5" w:space="0" w:color="000000"/>
            </w:tcBorders>
          </w:tcPr>
          <w:p w14:paraId="6A7CBAFE"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4E1E8002" w14:textId="77777777" w:rsidR="00190577" w:rsidRPr="00190577" w:rsidRDefault="00190577" w:rsidP="00190577">
            <w:pPr>
              <w:spacing w:after="0" w:line="240" w:lineRule="auto"/>
              <w:ind w:left="474"/>
              <w:rPr>
                <w:rFonts w:ascii="Arial" w:eastAsia="Arial" w:hAnsi="Arial" w:cs="Arial"/>
                <w:sz w:val="20"/>
                <w:szCs w:val="20"/>
                <w:lang w:val="en-US" w:eastAsia="en-GB"/>
              </w:rPr>
            </w:pPr>
            <w:r w:rsidRPr="00190577">
              <w:rPr>
                <w:rFonts w:ascii="Arial" w:eastAsia="Arial" w:hAnsi="Arial" w:cs="Arial"/>
                <w:sz w:val="20"/>
                <w:szCs w:val="20"/>
                <w:lang w:val="en-US" w:eastAsia="en-GB"/>
              </w:rPr>
              <w:t>£116,010</w:t>
            </w:r>
          </w:p>
        </w:tc>
        <w:tc>
          <w:tcPr>
            <w:tcW w:w="1842" w:type="dxa"/>
            <w:gridSpan w:val="2"/>
            <w:tcBorders>
              <w:top w:val="single" w:sz="5" w:space="0" w:color="000000"/>
              <w:left w:val="single" w:sz="5" w:space="0" w:color="000000"/>
              <w:bottom w:val="single" w:sz="5" w:space="0" w:color="000000"/>
              <w:right w:val="single" w:sz="5" w:space="0" w:color="000000"/>
            </w:tcBorders>
          </w:tcPr>
          <w:p w14:paraId="0321AF7C"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3E55EAF5"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Arial" w:hAnsi="Arial" w:cs="Arial"/>
                <w:sz w:val="20"/>
                <w:szCs w:val="20"/>
                <w:lang w:val="en-US" w:eastAsia="en-GB"/>
              </w:rPr>
              <w:t>£113,828</w:t>
            </w:r>
          </w:p>
        </w:tc>
      </w:tr>
      <w:tr w:rsidR="00190577" w:rsidRPr="00190577" w14:paraId="60EA91A0" w14:textId="77777777" w:rsidTr="00190577">
        <w:trPr>
          <w:trHeight w:hRule="exact" w:val="452"/>
        </w:trPr>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4DF32390" w14:textId="77777777" w:rsidR="00190577" w:rsidRPr="00190577" w:rsidRDefault="00190577" w:rsidP="00190577">
            <w:pPr>
              <w:spacing w:before="6" w:after="0" w:line="120" w:lineRule="exact"/>
              <w:rPr>
                <w:rFonts w:ascii="Times New Roman" w:eastAsia="Times New Roman" w:hAnsi="Times New Roman" w:cs="Times New Roman"/>
                <w:sz w:val="13"/>
                <w:szCs w:val="13"/>
                <w:lang w:val="en-US" w:eastAsia="en-GB"/>
              </w:rPr>
            </w:pPr>
          </w:p>
          <w:p w14:paraId="03A8374A"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42</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675DC701" w14:textId="77777777" w:rsidR="00190577" w:rsidRPr="00190577" w:rsidRDefault="00190577" w:rsidP="00190577">
            <w:pPr>
              <w:spacing w:before="6" w:after="0" w:line="120" w:lineRule="exact"/>
              <w:rPr>
                <w:rFonts w:ascii="Times New Roman" w:eastAsia="Times New Roman" w:hAnsi="Times New Roman" w:cs="Times New Roman"/>
                <w:sz w:val="13"/>
                <w:szCs w:val="13"/>
                <w:lang w:val="en-US" w:eastAsia="en-GB"/>
              </w:rPr>
            </w:pPr>
          </w:p>
          <w:p w14:paraId="13A86940"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Arial" w:hAnsi="Arial" w:cs="Arial"/>
                <w:sz w:val="20"/>
                <w:szCs w:val="20"/>
                <w:lang w:val="en-US" w:eastAsia="en-GB"/>
              </w:rPr>
              <w:t>£123,461</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3EDA87B4" w14:textId="77777777" w:rsidR="00190577" w:rsidRPr="00190577" w:rsidRDefault="00190577" w:rsidP="00190577">
            <w:pPr>
              <w:spacing w:before="6" w:after="0" w:line="120" w:lineRule="exact"/>
              <w:rPr>
                <w:rFonts w:ascii="Times New Roman" w:eastAsia="Times New Roman" w:hAnsi="Times New Roman" w:cs="Times New Roman"/>
                <w:sz w:val="13"/>
                <w:szCs w:val="13"/>
                <w:lang w:val="en-US" w:eastAsia="en-GB"/>
              </w:rPr>
            </w:pPr>
          </w:p>
          <w:p w14:paraId="6094DADB" w14:textId="77777777" w:rsidR="00190577" w:rsidRPr="00190577" w:rsidRDefault="00190577" w:rsidP="00190577">
            <w:pPr>
              <w:spacing w:after="0" w:line="240" w:lineRule="auto"/>
              <w:ind w:left="474"/>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1</w:t>
            </w:r>
            <w:r w:rsidRPr="00190577">
              <w:rPr>
                <w:rFonts w:ascii="Arial" w:eastAsia="Arial" w:hAnsi="Arial" w:cs="Arial"/>
                <w:sz w:val="20"/>
                <w:szCs w:val="20"/>
                <w:lang w:val="en-US" w:eastAsia="en-GB"/>
              </w:rPr>
              <w:t>18,828</w:t>
            </w:r>
          </w:p>
        </w:tc>
        <w:tc>
          <w:tcPr>
            <w:tcW w:w="1842" w:type="dxa"/>
            <w:gridSpan w:val="2"/>
            <w:tcBorders>
              <w:top w:val="single" w:sz="5" w:space="0" w:color="000000"/>
              <w:left w:val="single" w:sz="5" w:space="0" w:color="000000"/>
              <w:bottom w:val="single" w:sz="5" w:space="0" w:color="000000"/>
              <w:right w:val="single" w:sz="5" w:space="0" w:color="000000"/>
            </w:tcBorders>
            <w:shd w:val="clear" w:color="auto" w:fill="D9D9D9"/>
          </w:tcPr>
          <w:p w14:paraId="499CF4ED" w14:textId="77777777" w:rsidR="00190577" w:rsidRPr="00190577" w:rsidRDefault="00190577" w:rsidP="00190577">
            <w:pPr>
              <w:spacing w:before="6" w:after="0" w:line="120" w:lineRule="exact"/>
              <w:rPr>
                <w:rFonts w:ascii="Times New Roman" w:eastAsia="Times New Roman" w:hAnsi="Times New Roman" w:cs="Times New Roman"/>
                <w:sz w:val="13"/>
                <w:szCs w:val="13"/>
                <w:lang w:val="en-US" w:eastAsia="en-GB"/>
              </w:rPr>
            </w:pPr>
          </w:p>
          <w:p w14:paraId="256CFB1F"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Arial" w:hAnsi="Arial" w:cs="Arial"/>
                <w:sz w:val="20"/>
                <w:szCs w:val="20"/>
                <w:lang w:val="en-US" w:eastAsia="en-GB"/>
              </w:rPr>
              <w:t>£116,653</w:t>
            </w:r>
          </w:p>
        </w:tc>
      </w:tr>
      <w:tr w:rsidR="00190577" w:rsidRPr="00190577" w14:paraId="766F42B6" w14:textId="77777777" w:rsidTr="00190577">
        <w:trPr>
          <w:trHeight w:hRule="exact" w:val="468"/>
        </w:trPr>
        <w:tc>
          <w:tcPr>
            <w:tcW w:w="1701" w:type="dxa"/>
            <w:tcBorders>
              <w:top w:val="single" w:sz="5" w:space="0" w:color="000000"/>
              <w:left w:val="single" w:sz="5" w:space="0" w:color="000000"/>
              <w:bottom w:val="single" w:sz="5" w:space="0" w:color="000000"/>
              <w:right w:val="single" w:sz="5" w:space="0" w:color="000000"/>
            </w:tcBorders>
          </w:tcPr>
          <w:p w14:paraId="21E19E43"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678142D5" w14:textId="77777777" w:rsidR="00190577" w:rsidRPr="00190577" w:rsidRDefault="00190577" w:rsidP="00190577">
            <w:pPr>
              <w:spacing w:after="0" w:line="240" w:lineRule="auto"/>
              <w:ind w:left="662" w:right="665"/>
              <w:jc w:val="center"/>
              <w:rPr>
                <w:rFonts w:ascii="Arial" w:eastAsia="Arial" w:hAnsi="Arial" w:cs="Arial"/>
                <w:sz w:val="20"/>
                <w:szCs w:val="20"/>
                <w:lang w:val="en-US" w:eastAsia="en-GB"/>
              </w:rPr>
            </w:pPr>
            <w:r w:rsidRPr="00190577">
              <w:rPr>
                <w:rFonts w:ascii="Arial" w:eastAsia="Arial" w:hAnsi="Arial" w:cs="Arial"/>
                <w:w w:val="99"/>
                <w:sz w:val="20"/>
                <w:szCs w:val="20"/>
                <w:lang w:val="en-US" w:eastAsia="en-GB"/>
              </w:rPr>
              <w:t>43</w:t>
            </w:r>
          </w:p>
        </w:tc>
        <w:tc>
          <w:tcPr>
            <w:tcW w:w="1985" w:type="dxa"/>
            <w:tcBorders>
              <w:top w:val="single" w:sz="5" w:space="0" w:color="000000"/>
              <w:left w:val="single" w:sz="5" w:space="0" w:color="000000"/>
              <w:bottom w:val="single" w:sz="5" w:space="0" w:color="000000"/>
              <w:right w:val="single" w:sz="5" w:space="0" w:color="000000"/>
            </w:tcBorders>
          </w:tcPr>
          <w:p w14:paraId="64EDE50E"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157937B5"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125,098</w:t>
            </w:r>
          </w:p>
        </w:tc>
        <w:tc>
          <w:tcPr>
            <w:tcW w:w="1843" w:type="dxa"/>
            <w:tcBorders>
              <w:top w:val="single" w:sz="5" w:space="0" w:color="000000"/>
              <w:left w:val="single" w:sz="5" w:space="0" w:color="000000"/>
              <w:bottom w:val="single" w:sz="5" w:space="0" w:color="000000"/>
              <w:right w:val="single" w:sz="5" w:space="0" w:color="000000"/>
            </w:tcBorders>
          </w:tcPr>
          <w:p w14:paraId="665AEAA0"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48E7EE17" w14:textId="77777777" w:rsidR="00190577" w:rsidRPr="00190577" w:rsidRDefault="00190577" w:rsidP="00190577">
            <w:pPr>
              <w:spacing w:after="0" w:line="240" w:lineRule="auto"/>
              <w:ind w:left="474"/>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120,513</w:t>
            </w:r>
          </w:p>
        </w:tc>
        <w:tc>
          <w:tcPr>
            <w:tcW w:w="1842" w:type="dxa"/>
            <w:gridSpan w:val="2"/>
            <w:tcBorders>
              <w:top w:val="single" w:sz="5" w:space="0" w:color="000000"/>
              <w:left w:val="single" w:sz="5" w:space="0" w:color="000000"/>
              <w:bottom w:val="single" w:sz="5" w:space="0" w:color="000000"/>
              <w:right w:val="single" w:sz="5" w:space="0" w:color="000000"/>
            </w:tcBorders>
          </w:tcPr>
          <w:p w14:paraId="04A5CCC3" w14:textId="77777777" w:rsidR="00190577" w:rsidRPr="00190577" w:rsidRDefault="00190577" w:rsidP="00190577">
            <w:pPr>
              <w:spacing w:before="5" w:after="0" w:line="140" w:lineRule="exact"/>
              <w:rPr>
                <w:rFonts w:ascii="Times New Roman" w:eastAsia="Times New Roman" w:hAnsi="Times New Roman" w:cs="Times New Roman"/>
                <w:sz w:val="14"/>
                <w:szCs w:val="14"/>
                <w:lang w:val="en-US" w:eastAsia="en-GB"/>
              </w:rPr>
            </w:pPr>
          </w:p>
          <w:p w14:paraId="67AD1799" w14:textId="77777777" w:rsidR="00190577" w:rsidRPr="00190577" w:rsidRDefault="00190577" w:rsidP="00190577">
            <w:pPr>
              <w:spacing w:after="0" w:line="240" w:lineRule="auto"/>
              <w:ind w:left="520"/>
              <w:rPr>
                <w:rFonts w:ascii="Arial" w:eastAsia="Arial" w:hAnsi="Arial" w:cs="Arial"/>
                <w:sz w:val="20"/>
                <w:szCs w:val="20"/>
                <w:lang w:val="en-US" w:eastAsia="en-GB"/>
              </w:rPr>
            </w:pPr>
            <w:r w:rsidRPr="00190577">
              <w:rPr>
                <w:rFonts w:ascii="Arial" w:eastAsia="Arial" w:hAnsi="Arial" w:cs="Arial"/>
                <w:sz w:val="20"/>
                <w:szCs w:val="20"/>
                <w:lang w:val="en-US" w:eastAsia="en-GB"/>
              </w:rPr>
              <w:t>£</w:t>
            </w:r>
            <w:r w:rsidRPr="00190577">
              <w:rPr>
                <w:rFonts w:ascii="Arial" w:eastAsia="Arial" w:hAnsi="Arial" w:cs="Arial"/>
                <w:spacing w:val="-1"/>
                <w:sz w:val="20"/>
                <w:szCs w:val="20"/>
                <w:lang w:val="en-US" w:eastAsia="en-GB"/>
              </w:rPr>
              <w:t>1</w:t>
            </w:r>
            <w:r w:rsidRPr="00190577">
              <w:rPr>
                <w:rFonts w:ascii="Arial" w:eastAsia="Arial" w:hAnsi="Arial" w:cs="Arial"/>
                <w:sz w:val="20"/>
                <w:szCs w:val="20"/>
                <w:lang w:val="en-US" w:eastAsia="en-GB"/>
              </w:rPr>
              <w:t>18,356</w:t>
            </w:r>
          </w:p>
        </w:tc>
      </w:tr>
    </w:tbl>
    <w:p w14:paraId="5B23189B" w14:textId="77777777" w:rsidR="00190577" w:rsidRDefault="00190577" w:rsidP="00C07F52">
      <w:pPr>
        <w:spacing w:after="0" w:line="240" w:lineRule="auto"/>
        <w:rPr>
          <w:rFonts w:cstheme="minorHAnsi"/>
        </w:rPr>
      </w:pPr>
    </w:p>
    <w:p w14:paraId="41583CCE" w14:textId="71216F9E" w:rsidR="00C07F52" w:rsidRDefault="00C07F52" w:rsidP="00C07F52">
      <w:pPr>
        <w:spacing w:after="0" w:line="240" w:lineRule="auto"/>
        <w:rPr>
          <w:rFonts w:cstheme="minorHAnsi"/>
        </w:rPr>
      </w:pPr>
    </w:p>
    <w:p w14:paraId="2AC3F6DD" w14:textId="3AE23681" w:rsidR="00C07F52" w:rsidRDefault="00C07F52" w:rsidP="00C07F52">
      <w:pPr>
        <w:spacing w:after="0" w:line="240" w:lineRule="auto"/>
        <w:rPr>
          <w:rFonts w:cstheme="minorHAnsi"/>
        </w:rPr>
      </w:pPr>
    </w:p>
    <w:p w14:paraId="1351D1E0" w14:textId="44ED3E24" w:rsidR="00C07F52" w:rsidRDefault="00C07F52" w:rsidP="00C07F52">
      <w:pPr>
        <w:spacing w:after="0" w:line="240" w:lineRule="auto"/>
        <w:rPr>
          <w:rFonts w:cstheme="minorHAnsi"/>
        </w:rPr>
      </w:pPr>
    </w:p>
    <w:p w14:paraId="5C75B4A8" w14:textId="2AA0791C" w:rsidR="00C07F52" w:rsidRDefault="00C07F52" w:rsidP="00C07F52">
      <w:pPr>
        <w:spacing w:after="0" w:line="240" w:lineRule="auto"/>
        <w:rPr>
          <w:rFonts w:cstheme="minorHAnsi"/>
        </w:rPr>
      </w:pPr>
    </w:p>
    <w:p w14:paraId="6952E61C" w14:textId="2C52B031" w:rsidR="00C07F52" w:rsidRDefault="00C07F52" w:rsidP="00C07F52">
      <w:pPr>
        <w:spacing w:after="0" w:line="240" w:lineRule="auto"/>
        <w:rPr>
          <w:rFonts w:cstheme="minorHAnsi"/>
        </w:rPr>
      </w:pPr>
    </w:p>
    <w:p w14:paraId="7B3E107A" w14:textId="170B1FDE" w:rsidR="00C07F52" w:rsidRDefault="00C07F52" w:rsidP="00C07F52">
      <w:pPr>
        <w:spacing w:after="0" w:line="240" w:lineRule="auto"/>
        <w:rPr>
          <w:rFonts w:cstheme="minorHAnsi"/>
        </w:rPr>
      </w:pPr>
    </w:p>
    <w:p w14:paraId="20D251C1" w14:textId="3F97253E" w:rsidR="00C07F52" w:rsidRDefault="00C07F52" w:rsidP="00C07F52">
      <w:pPr>
        <w:spacing w:after="0" w:line="240" w:lineRule="auto"/>
        <w:rPr>
          <w:rFonts w:cstheme="minorHAnsi"/>
        </w:rPr>
      </w:pPr>
    </w:p>
    <w:p w14:paraId="247C83FB" w14:textId="57E00076" w:rsidR="00C07F52" w:rsidRDefault="00C07F52" w:rsidP="00C07F52">
      <w:pPr>
        <w:spacing w:after="0" w:line="240" w:lineRule="auto"/>
        <w:rPr>
          <w:rFonts w:cstheme="minorHAnsi"/>
        </w:rPr>
      </w:pPr>
    </w:p>
    <w:p w14:paraId="477E8542" w14:textId="5BCB1F60" w:rsidR="00C07F52" w:rsidRDefault="00C07F52" w:rsidP="00C07F52">
      <w:pPr>
        <w:spacing w:after="0" w:line="240" w:lineRule="auto"/>
        <w:rPr>
          <w:rFonts w:cstheme="minorHAnsi"/>
        </w:rPr>
      </w:pPr>
    </w:p>
    <w:p w14:paraId="1A7F7D05" w14:textId="27EBE5CF" w:rsidR="00C07F52" w:rsidRDefault="00C07F52" w:rsidP="00C07F52">
      <w:pPr>
        <w:spacing w:after="0" w:line="240" w:lineRule="auto"/>
        <w:rPr>
          <w:rFonts w:cstheme="minorHAnsi"/>
        </w:rPr>
      </w:pPr>
    </w:p>
    <w:p w14:paraId="1FDC0A7F" w14:textId="6A11B8EA" w:rsidR="00C07F52" w:rsidRPr="00190577" w:rsidRDefault="00190577" w:rsidP="00C07F52">
      <w:pPr>
        <w:spacing w:after="0" w:line="240" w:lineRule="auto"/>
        <w:rPr>
          <w:rFonts w:cstheme="minorHAnsi"/>
          <w:b/>
          <w:bCs/>
        </w:rPr>
      </w:pPr>
      <w:r>
        <w:rPr>
          <w:rFonts w:cstheme="minorHAnsi"/>
          <w:b/>
          <w:bCs/>
        </w:rPr>
        <w:t>Appendix 3 – Upper Pay Range Criteria</w:t>
      </w:r>
    </w:p>
    <w:p w14:paraId="1A8FEAD2" w14:textId="1E302CCB" w:rsidR="00C07F52" w:rsidRDefault="00C07F52" w:rsidP="00C07F52">
      <w:pPr>
        <w:spacing w:after="0" w:line="240" w:lineRule="auto"/>
        <w:rPr>
          <w:rFonts w:cstheme="minorHAnsi"/>
        </w:rPr>
      </w:pPr>
    </w:p>
    <w:p w14:paraId="52820F33" w14:textId="77777777" w:rsidR="000514C6" w:rsidRPr="000514C6" w:rsidRDefault="000514C6" w:rsidP="000514C6">
      <w:pPr>
        <w:spacing w:after="0" w:line="240" w:lineRule="auto"/>
        <w:rPr>
          <w:rFonts w:cstheme="minorHAnsi"/>
          <w:bCs/>
        </w:rPr>
      </w:pPr>
      <w:r w:rsidRPr="000514C6">
        <w:rPr>
          <w:rFonts w:cstheme="minorHAnsi"/>
          <w:bCs/>
        </w:rPr>
        <w:t>The Headteacher may only allow a teacher to join the Upper Pay Range if the Headteacher is satisfied that:</w:t>
      </w:r>
    </w:p>
    <w:p w14:paraId="628E0525" w14:textId="77777777" w:rsidR="000514C6" w:rsidRPr="000514C6" w:rsidRDefault="000514C6" w:rsidP="000514C6">
      <w:pPr>
        <w:spacing w:after="0" w:line="240" w:lineRule="auto"/>
        <w:rPr>
          <w:rFonts w:cstheme="minorHAnsi"/>
          <w:bCs/>
        </w:rPr>
      </w:pPr>
    </w:p>
    <w:p w14:paraId="7D6852AD" w14:textId="77777777" w:rsidR="000514C6" w:rsidRPr="000514C6" w:rsidRDefault="000514C6" w:rsidP="000514C6">
      <w:pPr>
        <w:numPr>
          <w:ilvl w:val="0"/>
          <w:numId w:val="11"/>
        </w:numPr>
        <w:tabs>
          <w:tab w:val="num" w:pos="1418"/>
        </w:tabs>
        <w:spacing w:after="0" w:line="240" w:lineRule="auto"/>
        <w:rPr>
          <w:rFonts w:cstheme="minorHAnsi"/>
          <w:bCs/>
        </w:rPr>
      </w:pPr>
      <w:r w:rsidRPr="000514C6">
        <w:rPr>
          <w:rFonts w:cstheme="minorHAnsi"/>
          <w:bCs/>
        </w:rPr>
        <w:t xml:space="preserve">the teacher is highly competent in all elements of the Teachers’ Standards; and </w:t>
      </w:r>
    </w:p>
    <w:p w14:paraId="2638A8D1" w14:textId="77777777" w:rsidR="000514C6" w:rsidRPr="000514C6" w:rsidRDefault="000514C6" w:rsidP="000514C6">
      <w:pPr>
        <w:spacing w:after="0" w:line="240" w:lineRule="auto"/>
        <w:rPr>
          <w:rFonts w:cstheme="minorHAnsi"/>
          <w:bCs/>
        </w:rPr>
      </w:pPr>
    </w:p>
    <w:p w14:paraId="66B1180A" w14:textId="77777777" w:rsidR="000514C6" w:rsidRPr="000514C6" w:rsidRDefault="000514C6" w:rsidP="000514C6">
      <w:pPr>
        <w:numPr>
          <w:ilvl w:val="0"/>
          <w:numId w:val="11"/>
        </w:numPr>
        <w:tabs>
          <w:tab w:val="num" w:pos="1418"/>
        </w:tabs>
        <w:spacing w:after="0" w:line="240" w:lineRule="auto"/>
        <w:rPr>
          <w:rFonts w:cstheme="minorHAnsi"/>
          <w:bCs/>
        </w:rPr>
      </w:pPr>
      <w:r w:rsidRPr="000514C6">
        <w:rPr>
          <w:rFonts w:cstheme="minorHAnsi"/>
          <w:bCs/>
        </w:rPr>
        <w:t xml:space="preserve">the teacher’s achievements and contribution to the </w:t>
      </w:r>
      <w:proofErr w:type="gramStart"/>
      <w:r w:rsidRPr="000514C6">
        <w:rPr>
          <w:rFonts w:cstheme="minorHAnsi"/>
          <w:bCs/>
        </w:rPr>
        <w:t>School</w:t>
      </w:r>
      <w:proofErr w:type="gramEnd"/>
      <w:r w:rsidRPr="000514C6">
        <w:rPr>
          <w:rFonts w:cstheme="minorHAnsi"/>
          <w:bCs/>
        </w:rPr>
        <w:t xml:space="preserve"> are substantial and sustained. </w:t>
      </w:r>
    </w:p>
    <w:p w14:paraId="32F427BA" w14:textId="77777777" w:rsidR="000514C6" w:rsidRPr="000514C6" w:rsidRDefault="000514C6" w:rsidP="000514C6">
      <w:pPr>
        <w:spacing w:after="0" w:line="240" w:lineRule="auto"/>
        <w:rPr>
          <w:rFonts w:cstheme="minorHAnsi"/>
          <w:bCs/>
        </w:rPr>
      </w:pPr>
    </w:p>
    <w:p w14:paraId="5BA4DA38" w14:textId="0626AEB1" w:rsidR="000514C6" w:rsidRPr="000514C6" w:rsidRDefault="000514C6" w:rsidP="000514C6">
      <w:pPr>
        <w:spacing w:after="0" w:line="240" w:lineRule="auto"/>
        <w:rPr>
          <w:rFonts w:cstheme="minorHAnsi"/>
          <w:bCs/>
        </w:rPr>
      </w:pPr>
      <w:r w:rsidRPr="000514C6">
        <w:rPr>
          <w:rFonts w:cstheme="minorHAnsi"/>
          <w:bCs/>
        </w:rPr>
        <w:t>To pass these two tests, the teacher must demonstrate clear and secure evidence covering a period of at least 2 years of:</w:t>
      </w:r>
    </w:p>
    <w:p w14:paraId="5E547367" w14:textId="77777777" w:rsidR="000514C6" w:rsidRPr="000514C6" w:rsidRDefault="000514C6" w:rsidP="000514C6">
      <w:pPr>
        <w:spacing w:after="0" w:line="240" w:lineRule="auto"/>
        <w:rPr>
          <w:rFonts w:cstheme="minorHAnsi"/>
          <w:bCs/>
        </w:rPr>
      </w:pPr>
    </w:p>
    <w:p w14:paraId="68DC272F" w14:textId="77777777" w:rsidR="000514C6" w:rsidRPr="000514C6" w:rsidRDefault="000514C6" w:rsidP="000514C6">
      <w:pPr>
        <w:numPr>
          <w:ilvl w:val="0"/>
          <w:numId w:val="12"/>
        </w:numPr>
        <w:spacing w:after="0" w:line="240" w:lineRule="auto"/>
        <w:rPr>
          <w:rFonts w:cstheme="minorHAnsi"/>
          <w:bCs/>
        </w:rPr>
      </w:pPr>
      <w:r w:rsidRPr="000514C6">
        <w:rPr>
          <w:rFonts w:cstheme="minorHAnsi"/>
          <w:bCs/>
        </w:rPr>
        <w:t xml:space="preserve">all their teaching being at least consistently good with a significant proportion </w:t>
      </w:r>
      <w:proofErr w:type="gramStart"/>
      <w:r w:rsidRPr="000514C6">
        <w:rPr>
          <w:rFonts w:cstheme="minorHAnsi"/>
          <w:bCs/>
        </w:rPr>
        <w:t>outstanding;</w:t>
      </w:r>
      <w:proofErr w:type="gramEnd"/>
    </w:p>
    <w:p w14:paraId="60D81E13" w14:textId="77777777" w:rsidR="000514C6" w:rsidRPr="000514C6" w:rsidRDefault="000514C6" w:rsidP="000514C6">
      <w:pPr>
        <w:spacing w:after="0" w:line="240" w:lineRule="auto"/>
        <w:rPr>
          <w:rFonts w:cstheme="minorHAnsi"/>
          <w:bCs/>
        </w:rPr>
      </w:pPr>
    </w:p>
    <w:p w14:paraId="5E069D3C" w14:textId="368A0237" w:rsidR="000514C6" w:rsidRPr="000514C6" w:rsidRDefault="000514C6" w:rsidP="000514C6">
      <w:pPr>
        <w:numPr>
          <w:ilvl w:val="0"/>
          <w:numId w:val="12"/>
        </w:numPr>
        <w:spacing w:after="0" w:line="240" w:lineRule="auto"/>
        <w:rPr>
          <w:rFonts w:cstheme="minorHAnsi"/>
          <w:bCs/>
        </w:rPr>
      </w:pPr>
      <w:r w:rsidRPr="000514C6">
        <w:rPr>
          <w:rFonts w:cstheme="minorHAnsi"/>
          <w:bCs/>
        </w:rPr>
        <w:t>excellent depth and breadth of knowledge</w:t>
      </w:r>
      <w:r w:rsidR="00ED2EA3">
        <w:rPr>
          <w:rFonts w:cstheme="minorHAnsi"/>
          <w:bCs/>
        </w:rPr>
        <w:t xml:space="preserve"> and </w:t>
      </w:r>
      <w:r w:rsidRPr="000514C6">
        <w:rPr>
          <w:rFonts w:cstheme="minorHAnsi"/>
          <w:bCs/>
        </w:rPr>
        <w:t>skills</w:t>
      </w:r>
      <w:r w:rsidR="00ED2EA3">
        <w:rPr>
          <w:rFonts w:cstheme="minorHAnsi"/>
          <w:bCs/>
        </w:rPr>
        <w:t>,</w:t>
      </w:r>
      <w:r w:rsidRPr="000514C6">
        <w:rPr>
          <w:rFonts w:cstheme="minorHAnsi"/>
          <w:bCs/>
        </w:rPr>
        <w:t xml:space="preserve"> and understanding of the Teachers’ Standards and of developing adherence to those Standards by </w:t>
      </w:r>
      <w:proofErr w:type="gramStart"/>
      <w:r w:rsidRPr="000514C6">
        <w:rPr>
          <w:rFonts w:cstheme="minorHAnsi"/>
          <w:bCs/>
        </w:rPr>
        <w:t>colleagues;</w:t>
      </w:r>
      <w:proofErr w:type="gramEnd"/>
    </w:p>
    <w:p w14:paraId="3ECAFAF0" w14:textId="77777777" w:rsidR="000514C6" w:rsidRPr="000514C6" w:rsidRDefault="000514C6" w:rsidP="000514C6">
      <w:pPr>
        <w:spacing w:after="0" w:line="240" w:lineRule="auto"/>
        <w:rPr>
          <w:rFonts w:cstheme="minorHAnsi"/>
          <w:bCs/>
        </w:rPr>
      </w:pPr>
    </w:p>
    <w:p w14:paraId="0C09917F" w14:textId="77777777" w:rsidR="000514C6" w:rsidRPr="000514C6" w:rsidRDefault="000514C6" w:rsidP="000514C6">
      <w:pPr>
        <w:numPr>
          <w:ilvl w:val="0"/>
          <w:numId w:val="12"/>
        </w:numPr>
        <w:spacing w:after="0" w:line="240" w:lineRule="auto"/>
        <w:rPr>
          <w:rFonts w:cstheme="minorHAnsi"/>
          <w:bCs/>
        </w:rPr>
      </w:pPr>
      <w:r w:rsidRPr="000514C6">
        <w:rPr>
          <w:rFonts w:cstheme="minorHAnsi"/>
          <w:bCs/>
        </w:rPr>
        <w:t xml:space="preserve">consistently positive impact on pupil progress to achieve or exceed expected </w:t>
      </w:r>
      <w:proofErr w:type="gramStart"/>
      <w:r w:rsidRPr="000514C6">
        <w:rPr>
          <w:rFonts w:cstheme="minorHAnsi"/>
          <w:bCs/>
        </w:rPr>
        <w:t>outcomes;</w:t>
      </w:r>
      <w:proofErr w:type="gramEnd"/>
    </w:p>
    <w:p w14:paraId="661F737A" w14:textId="77777777" w:rsidR="000514C6" w:rsidRPr="000514C6" w:rsidRDefault="000514C6" w:rsidP="000514C6">
      <w:pPr>
        <w:spacing w:after="0" w:line="240" w:lineRule="auto"/>
        <w:rPr>
          <w:rFonts w:cstheme="minorHAnsi"/>
          <w:bCs/>
        </w:rPr>
      </w:pPr>
    </w:p>
    <w:p w14:paraId="5F9DEDF4" w14:textId="77777777" w:rsidR="000514C6" w:rsidRPr="000514C6" w:rsidRDefault="000514C6" w:rsidP="000514C6">
      <w:pPr>
        <w:numPr>
          <w:ilvl w:val="0"/>
          <w:numId w:val="12"/>
        </w:numPr>
        <w:spacing w:after="0" w:line="240" w:lineRule="auto"/>
        <w:rPr>
          <w:rFonts w:cstheme="minorHAnsi"/>
          <w:bCs/>
        </w:rPr>
      </w:pPr>
      <w:r w:rsidRPr="000514C6">
        <w:rPr>
          <w:rFonts w:cstheme="minorHAnsi"/>
          <w:bCs/>
        </w:rPr>
        <w:t xml:space="preserve">consistently positive impact on raising standards across the </w:t>
      </w:r>
      <w:proofErr w:type="gramStart"/>
      <w:r w:rsidRPr="000514C6">
        <w:rPr>
          <w:rFonts w:cstheme="minorHAnsi"/>
          <w:bCs/>
        </w:rPr>
        <w:t>School</w:t>
      </w:r>
      <w:proofErr w:type="gramEnd"/>
      <w:r w:rsidRPr="000514C6">
        <w:rPr>
          <w:rFonts w:cstheme="minorHAnsi"/>
          <w:bCs/>
        </w:rPr>
        <w:t>, not just in the teacher’s own classroom;</w:t>
      </w:r>
    </w:p>
    <w:p w14:paraId="48BE934A" w14:textId="77777777" w:rsidR="000514C6" w:rsidRPr="000514C6" w:rsidRDefault="000514C6" w:rsidP="000514C6">
      <w:pPr>
        <w:spacing w:after="0" w:line="240" w:lineRule="auto"/>
        <w:rPr>
          <w:rFonts w:cstheme="minorHAnsi"/>
          <w:bCs/>
        </w:rPr>
      </w:pPr>
    </w:p>
    <w:p w14:paraId="52255C11" w14:textId="77777777" w:rsidR="000514C6" w:rsidRPr="000514C6" w:rsidRDefault="000514C6" w:rsidP="000514C6">
      <w:pPr>
        <w:numPr>
          <w:ilvl w:val="0"/>
          <w:numId w:val="12"/>
        </w:numPr>
        <w:spacing w:after="0" w:line="240" w:lineRule="auto"/>
        <w:rPr>
          <w:rFonts w:cstheme="minorHAnsi"/>
          <w:bCs/>
        </w:rPr>
      </w:pPr>
      <w:r w:rsidRPr="000514C6">
        <w:rPr>
          <w:rFonts w:cstheme="minorHAnsi"/>
          <w:bCs/>
        </w:rPr>
        <w:t xml:space="preserve">effectively demonstrating to colleagues good and outstanding teaching and learning practice and how to make a contribution to the work of the </w:t>
      </w:r>
      <w:proofErr w:type="gramStart"/>
      <w:r w:rsidRPr="000514C6">
        <w:rPr>
          <w:rFonts w:cstheme="minorHAnsi"/>
          <w:bCs/>
        </w:rPr>
        <w:t>School;</w:t>
      </w:r>
      <w:proofErr w:type="gramEnd"/>
    </w:p>
    <w:p w14:paraId="7E49DE60" w14:textId="77777777" w:rsidR="000514C6" w:rsidRPr="000514C6" w:rsidRDefault="000514C6" w:rsidP="000514C6">
      <w:pPr>
        <w:spacing w:after="0" w:line="240" w:lineRule="auto"/>
        <w:rPr>
          <w:rFonts w:cstheme="minorHAnsi"/>
          <w:bCs/>
        </w:rPr>
      </w:pPr>
    </w:p>
    <w:p w14:paraId="72E4FFC9" w14:textId="77777777" w:rsidR="000514C6" w:rsidRPr="000514C6" w:rsidRDefault="000514C6" w:rsidP="000514C6">
      <w:pPr>
        <w:numPr>
          <w:ilvl w:val="0"/>
          <w:numId w:val="12"/>
        </w:numPr>
        <w:spacing w:after="0" w:line="240" w:lineRule="auto"/>
        <w:rPr>
          <w:rFonts w:cstheme="minorHAnsi"/>
          <w:bCs/>
        </w:rPr>
      </w:pPr>
      <w:r w:rsidRPr="000514C6">
        <w:rPr>
          <w:rFonts w:cstheme="minorHAnsi"/>
          <w:bCs/>
        </w:rPr>
        <w:t xml:space="preserve">effectively working collaboratively across the </w:t>
      </w:r>
      <w:proofErr w:type="gramStart"/>
      <w:r w:rsidRPr="000514C6">
        <w:rPr>
          <w:rFonts w:cstheme="minorHAnsi"/>
          <w:bCs/>
        </w:rPr>
        <w:t>School</w:t>
      </w:r>
      <w:proofErr w:type="gramEnd"/>
      <w:r w:rsidRPr="000514C6">
        <w:rPr>
          <w:rFonts w:cstheme="minorHAnsi"/>
          <w:bCs/>
        </w:rPr>
        <w:t xml:space="preserve"> in a wider role or outside the School;</w:t>
      </w:r>
    </w:p>
    <w:p w14:paraId="5635A60C" w14:textId="77777777" w:rsidR="000514C6" w:rsidRPr="000514C6" w:rsidRDefault="000514C6" w:rsidP="000514C6">
      <w:pPr>
        <w:spacing w:after="0" w:line="240" w:lineRule="auto"/>
        <w:rPr>
          <w:rFonts w:cstheme="minorHAnsi"/>
          <w:bCs/>
        </w:rPr>
      </w:pPr>
    </w:p>
    <w:p w14:paraId="63300714" w14:textId="77777777" w:rsidR="000514C6" w:rsidRPr="000514C6" w:rsidRDefault="000514C6" w:rsidP="000514C6">
      <w:pPr>
        <w:numPr>
          <w:ilvl w:val="0"/>
          <w:numId w:val="12"/>
        </w:numPr>
        <w:spacing w:after="0" w:line="240" w:lineRule="auto"/>
        <w:rPr>
          <w:rFonts w:cstheme="minorHAnsi"/>
          <w:bCs/>
        </w:rPr>
      </w:pPr>
      <w:r w:rsidRPr="000514C6">
        <w:rPr>
          <w:rFonts w:cstheme="minorHAnsi"/>
          <w:bCs/>
        </w:rPr>
        <w:t>effectively leading and developing a team; and</w:t>
      </w:r>
    </w:p>
    <w:p w14:paraId="448C799C" w14:textId="77777777" w:rsidR="000514C6" w:rsidRPr="000514C6" w:rsidRDefault="000514C6" w:rsidP="000514C6">
      <w:pPr>
        <w:spacing w:after="0" w:line="240" w:lineRule="auto"/>
        <w:rPr>
          <w:rFonts w:cstheme="minorHAnsi"/>
          <w:bCs/>
        </w:rPr>
      </w:pPr>
    </w:p>
    <w:p w14:paraId="5C222C5D" w14:textId="77777777" w:rsidR="000514C6" w:rsidRPr="000514C6" w:rsidRDefault="000514C6" w:rsidP="000514C6">
      <w:pPr>
        <w:numPr>
          <w:ilvl w:val="0"/>
          <w:numId w:val="12"/>
        </w:numPr>
        <w:spacing w:after="0" w:line="240" w:lineRule="auto"/>
        <w:rPr>
          <w:rFonts w:cstheme="minorHAnsi"/>
          <w:bCs/>
        </w:rPr>
      </w:pPr>
      <w:r w:rsidRPr="000514C6">
        <w:rPr>
          <w:rFonts w:cstheme="minorHAnsi"/>
          <w:bCs/>
        </w:rPr>
        <w:t>effective or innovative use of CPD opportunities.</w:t>
      </w:r>
    </w:p>
    <w:p w14:paraId="39332B8F" w14:textId="7B1ACF2F" w:rsidR="00C07F52" w:rsidRDefault="00C07F52" w:rsidP="00C07F52">
      <w:pPr>
        <w:spacing w:after="0" w:line="240" w:lineRule="auto"/>
        <w:rPr>
          <w:rFonts w:cstheme="minorHAnsi"/>
        </w:rPr>
      </w:pPr>
    </w:p>
    <w:p w14:paraId="4E8B2DCB" w14:textId="4C6897FE" w:rsidR="00C07F52" w:rsidRDefault="00C07F52" w:rsidP="00C07F52">
      <w:pPr>
        <w:spacing w:after="0" w:line="240" w:lineRule="auto"/>
        <w:rPr>
          <w:rFonts w:cstheme="minorHAnsi"/>
        </w:rPr>
      </w:pPr>
    </w:p>
    <w:p w14:paraId="639BBD8B" w14:textId="68C36844" w:rsidR="00C07F52" w:rsidRDefault="00C07F52" w:rsidP="00C07F52">
      <w:pPr>
        <w:spacing w:after="0" w:line="240" w:lineRule="auto"/>
        <w:rPr>
          <w:rFonts w:cstheme="minorHAnsi"/>
        </w:rPr>
      </w:pPr>
    </w:p>
    <w:p w14:paraId="2B83F2B0" w14:textId="000218B1" w:rsidR="00C07F52" w:rsidRDefault="00C07F52" w:rsidP="00C07F52">
      <w:pPr>
        <w:spacing w:after="0" w:line="240" w:lineRule="auto"/>
        <w:rPr>
          <w:rFonts w:cstheme="minorHAnsi"/>
        </w:rPr>
      </w:pPr>
    </w:p>
    <w:p w14:paraId="6B79EE1A" w14:textId="3FB0574E" w:rsidR="00C07F52" w:rsidRDefault="00C07F52" w:rsidP="00C07F52">
      <w:pPr>
        <w:spacing w:after="0" w:line="240" w:lineRule="auto"/>
        <w:rPr>
          <w:rFonts w:cstheme="minorHAnsi"/>
        </w:rPr>
      </w:pPr>
    </w:p>
    <w:p w14:paraId="6B121656" w14:textId="2FEFDAA1" w:rsidR="00C07F52" w:rsidRDefault="00C07F52" w:rsidP="00C07F52">
      <w:pPr>
        <w:spacing w:after="0" w:line="240" w:lineRule="auto"/>
        <w:rPr>
          <w:rFonts w:cstheme="minorHAnsi"/>
        </w:rPr>
      </w:pPr>
    </w:p>
    <w:p w14:paraId="1FA30FDB" w14:textId="77777777" w:rsidR="00C07F52" w:rsidRDefault="00C07F52" w:rsidP="00C07F52">
      <w:pPr>
        <w:spacing w:after="0" w:line="240" w:lineRule="auto"/>
        <w:rPr>
          <w:rFonts w:cstheme="minorHAnsi"/>
        </w:rPr>
      </w:pPr>
    </w:p>
    <w:p w14:paraId="754F854E" w14:textId="77777777" w:rsidR="000514C6" w:rsidRDefault="000514C6" w:rsidP="00C07F52">
      <w:pPr>
        <w:spacing w:after="0" w:line="240" w:lineRule="auto"/>
        <w:rPr>
          <w:rFonts w:cstheme="minorHAnsi"/>
        </w:rPr>
      </w:pPr>
    </w:p>
    <w:p w14:paraId="268C9778" w14:textId="77777777" w:rsidR="000514C6" w:rsidRDefault="000514C6" w:rsidP="00C07F52">
      <w:pPr>
        <w:spacing w:after="0" w:line="240" w:lineRule="auto"/>
        <w:rPr>
          <w:rFonts w:cstheme="minorHAnsi"/>
        </w:rPr>
      </w:pPr>
    </w:p>
    <w:p w14:paraId="3E31AD83" w14:textId="77777777" w:rsidR="000514C6" w:rsidRDefault="000514C6" w:rsidP="00C07F52">
      <w:pPr>
        <w:spacing w:after="0" w:line="240" w:lineRule="auto"/>
        <w:rPr>
          <w:rFonts w:cstheme="minorHAnsi"/>
        </w:rPr>
      </w:pPr>
    </w:p>
    <w:p w14:paraId="59DDB48D" w14:textId="77777777" w:rsidR="000514C6" w:rsidRDefault="000514C6" w:rsidP="00C07F52">
      <w:pPr>
        <w:spacing w:after="0" w:line="240" w:lineRule="auto"/>
        <w:rPr>
          <w:rFonts w:cstheme="minorHAnsi"/>
        </w:rPr>
      </w:pPr>
    </w:p>
    <w:p w14:paraId="0A943B01" w14:textId="77777777" w:rsidR="000514C6" w:rsidRDefault="000514C6" w:rsidP="00C07F52">
      <w:pPr>
        <w:spacing w:after="0" w:line="240" w:lineRule="auto"/>
        <w:rPr>
          <w:rFonts w:cstheme="minorHAnsi"/>
        </w:rPr>
      </w:pPr>
    </w:p>
    <w:p w14:paraId="1C66561B" w14:textId="77777777" w:rsidR="000514C6" w:rsidRDefault="000514C6" w:rsidP="00C07F52">
      <w:pPr>
        <w:spacing w:after="0" w:line="240" w:lineRule="auto"/>
        <w:rPr>
          <w:rFonts w:cstheme="minorHAnsi"/>
        </w:rPr>
      </w:pPr>
    </w:p>
    <w:p w14:paraId="705EAB30" w14:textId="77777777" w:rsidR="000514C6" w:rsidRDefault="000514C6" w:rsidP="00C07F52">
      <w:pPr>
        <w:spacing w:after="0" w:line="240" w:lineRule="auto"/>
        <w:rPr>
          <w:rFonts w:cstheme="minorHAnsi"/>
        </w:rPr>
      </w:pPr>
    </w:p>
    <w:p w14:paraId="2443361A" w14:textId="77777777" w:rsidR="000514C6" w:rsidRDefault="000514C6" w:rsidP="00C07F52">
      <w:pPr>
        <w:spacing w:after="0" w:line="240" w:lineRule="auto"/>
        <w:rPr>
          <w:rFonts w:cstheme="minorHAnsi"/>
        </w:rPr>
      </w:pPr>
    </w:p>
    <w:p w14:paraId="2CD9CD03" w14:textId="77777777" w:rsidR="000514C6" w:rsidRDefault="000514C6" w:rsidP="00C07F52">
      <w:pPr>
        <w:spacing w:after="0" w:line="240" w:lineRule="auto"/>
        <w:rPr>
          <w:rFonts w:cstheme="minorHAnsi"/>
          <w:b/>
          <w:bCs/>
        </w:rPr>
      </w:pPr>
      <w:r>
        <w:rPr>
          <w:rFonts w:cstheme="minorHAnsi"/>
          <w:b/>
          <w:bCs/>
        </w:rPr>
        <w:t xml:space="preserve">Appendix </w:t>
      </w:r>
      <w:proofErr w:type="gramStart"/>
      <w:r>
        <w:rPr>
          <w:rFonts w:cstheme="minorHAnsi"/>
          <w:b/>
          <w:bCs/>
        </w:rPr>
        <w:t>4  -</w:t>
      </w:r>
      <w:proofErr w:type="gramEnd"/>
      <w:r>
        <w:rPr>
          <w:rFonts w:cstheme="minorHAnsi"/>
          <w:b/>
          <w:bCs/>
        </w:rPr>
        <w:t xml:space="preserve"> The School Staffing Structure</w:t>
      </w:r>
    </w:p>
    <w:p w14:paraId="5E7FDA71" w14:textId="77777777" w:rsidR="000514C6" w:rsidRPr="000514C6" w:rsidRDefault="000514C6" w:rsidP="00C07F52">
      <w:pPr>
        <w:spacing w:after="0" w:line="240" w:lineRule="auto"/>
        <w:rPr>
          <w:rFonts w:cstheme="minorHAnsi"/>
        </w:rPr>
      </w:pPr>
    </w:p>
    <w:p w14:paraId="2209B4B2" w14:textId="77777777" w:rsidR="000514C6" w:rsidRPr="000514C6" w:rsidRDefault="000514C6" w:rsidP="00C07F52">
      <w:pPr>
        <w:spacing w:after="0" w:line="240" w:lineRule="auto"/>
        <w:rPr>
          <w:rFonts w:cstheme="minorHAnsi"/>
        </w:rPr>
      </w:pPr>
    </w:p>
    <w:p w14:paraId="7FF74CB0" w14:textId="25CE8472" w:rsidR="000514C6" w:rsidRPr="000514C6" w:rsidRDefault="000514C6" w:rsidP="00C07F52">
      <w:pPr>
        <w:spacing w:after="0" w:line="240" w:lineRule="auto"/>
        <w:rPr>
          <w:rFonts w:cstheme="minorHAnsi"/>
        </w:rPr>
      </w:pPr>
    </w:p>
    <w:p w14:paraId="0E997D6A" w14:textId="77777777" w:rsidR="000514C6" w:rsidRPr="000514C6" w:rsidRDefault="000514C6" w:rsidP="00C07F52">
      <w:pPr>
        <w:spacing w:after="0" w:line="240" w:lineRule="auto"/>
        <w:rPr>
          <w:rFonts w:cstheme="minorHAnsi"/>
        </w:rPr>
      </w:pPr>
    </w:p>
    <w:p w14:paraId="3FA3E285" w14:textId="77777777" w:rsidR="000514C6" w:rsidRPr="000514C6" w:rsidRDefault="000514C6" w:rsidP="00C07F52">
      <w:pPr>
        <w:spacing w:after="0" w:line="240" w:lineRule="auto"/>
        <w:rPr>
          <w:rFonts w:cstheme="minorHAnsi"/>
        </w:rPr>
      </w:pPr>
    </w:p>
    <w:p w14:paraId="6426ED40" w14:textId="77777777" w:rsidR="000514C6" w:rsidRPr="000514C6" w:rsidRDefault="000514C6" w:rsidP="00C07F52">
      <w:pPr>
        <w:spacing w:after="0" w:line="240" w:lineRule="auto"/>
        <w:rPr>
          <w:rFonts w:cstheme="minorHAnsi"/>
        </w:rPr>
      </w:pPr>
    </w:p>
    <w:p w14:paraId="7A18FF6E" w14:textId="77777777" w:rsidR="000514C6" w:rsidRPr="000514C6" w:rsidRDefault="000514C6" w:rsidP="00C07F52">
      <w:pPr>
        <w:spacing w:after="0" w:line="240" w:lineRule="auto"/>
        <w:rPr>
          <w:rFonts w:cstheme="minorHAnsi"/>
        </w:rPr>
      </w:pPr>
    </w:p>
    <w:p w14:paraId="6542E063" w14:textId="77777777" w:rsidR="000514C6" w:rsidRPr="000514C6" w:rsidRDefault="000514C6" w:rsidP="00C07F52">
      <w:pPr>
        <w:spacing w:after="0" w:line="240" w:lineRule="auto"/>
        <w:rPr>
          <w:rFonts w:cstheme="minorHAnsi"/>
        </w:rPr>
      </w:pPr>
    </w:p>
    <w:p w14:paraId="168E0487" w14:textId="77777777" w:rsidR="000514C6" w:rsidRPr="000514C6" w:rsidRDefault="000514C6" w:rsidP="00C07F52">
      <w:pPr>
        <w:spacing w:after="0" w:line="240" w:lineRule="auto"/>
        <w:rPr>
          <w:rFonts w:cstheme="minorHAnsi"/>
        </w:rPr>
      </w:pPr>
    </w:p>
    <w:p w14:paraId="67C00D5E" w14:textId="77777777" w:rsidR="000514C6" w:rsidRPr="000514C6" w:rsidRDefault="000514C6" w:rsidP="00C07F52">
      <w:pPr>
        <w:spacing w:after="0" w:line="240" w:lineRule="auto"/>
        <w:rPr>
          <w:rFonts w:cstheme="minorHAnsi"/>
        </w:rPr>
      </w:pPr>
    </w:p>
    <w:p w14:paraId="6B2E2626" w14:textId="77777777" w:rsidR="000514C6" w:rsidRPr="000514C6" w:rsidRDefault="000514C6" w:rsidP="00C07F52">
      <w:pPr>
        <w:spacing w:after="0" w:line="240" w:lineRule="auto"/>
        <w:rPr>
          <w:rFonts w:cstheme="minorHAnsi"/>
        </w:rPr>
      </w:pPr>
    </w:p>
    <w:p w14:paraId="4A5700DB" w14:textId="77777777" w:rsidR="000514C6" w:rsidRPr="000514C6" w:rsidRDefault="000514C6" w:rsidP="00C07F52">
      <w:pPr>
        <w:spacing w:after="0" w:line="240" w:lineRule="auto"/>
        <w:rPr>
          <w:rFonts w:cstheme="minorHAnsi"/>
        </w:rPr>
      </w:pPr>
    </w:p>
    <w:p w14:paraId="5B8F57C9" w14:textId="77777777" w:rsidR="000514C6" w:rsidRPr="000514C6" w:rsidRDefault="000514C6" w:rsidP="00C07F52">
      <w:pPr>
        <w:spacing w:after="0" w:line="240" w:lineRule="auto"/>
        <w:rPr>
          <w:rFonts w:cstheme="minorHAnsi"/>
        </w:rPr>
      </w:pPr>
    </w:p>
    <w:p w14:paraId="7C8AF7A1" w14:textId="77777777" w:rsidR="000514C6" w:rsidRPr="000514C6" w:rsidRDefault="000514C6" w:rsidP="00C07F52">
      <w:pPr>
        <w:spacing w:after="0" w:line="240" w:lineRule="auto"/>
        <w:rPr>
          <w:rFonts w:cstheme="minorHAnsi"/>
        </w:rPr>
      </w:pPr>
    </w:p>
    <w:p w14:paraId="2653762F" w14:textId="77777777" w:rsidR="000514C6" w:rsidRPr="000514C6" w:rsidRDefault="000514C6" w:rsidP="00C07F52">
      <w:pPr>
        <w:spacing w:after="0" w:line="240" w:lineRule="auto"/>
        <w:rPr>
          <w:rFonts w:cstheme="minorHAnsi"/>
        </w:rPr>
      </w:pPr>
    </w:p>
    <w:p w14:paraId="20C58C46" w14:textId="77777777" w:rsidR="000514C6" w:rsidRPr="000514C6" w:rsidRDefault="000514C6" w:rsidP="00C07F52">
      <w:pPr>
        <w:spacing w:after="0" w:line="240" w:lineRule="auto"/>
        <w:rPr>
          <w:rFonts w:cstheme="minorHAnsi"/>
        </w:rPr>
      </w:pPr>
    </w:p>
    <w:p w14:paraId="6E354F4B" w14:textId="77777777" w:rsidR="000514C6" w:rsidRPr="000514C6" w:rsidRDefault="000514C6" w:rsidP="00C07F52">
      <w:pPr>
        <w:spacing w:after="0" w:line="240" w:lineRule="auto"/>
        <w:rPr>
          <w:rFonts w:cstheme="minorHAnsi"/>
        </w:rPr>
      </w:pPr>
    </w:p>
    <w:p w14:paraId="5B8DB28C" w14:textId="77777777" w:rsidR="000514C6" w:rsidRPr="000514C6" w:rsidRDefault="000514C6" w:rsidP="00C07F52">
      <w:pPr>
        <w:spacing w:after="0" w:line="240" w:lineRule="auto"/>
        <w:rPr>
          <w:rFonts w:cstheme="minorHAnsi"/>
        </w:rPr>
      </w:pPr>
    </w:p>
    <w:p w14:paraId="49CDBC9A" w14:textId="77777777" w:rsidR="000514C6" w:rsidRPr="000514C6" w:rsidRDefault="000514C6" w:rsidP="00C07F52">
      <w:pPr>
        <w:spacing w:after="0" w:line="240" w:lineRule="auto"/>
        <w:rPr>
          <w:rFonts w:cstheme="minorHAnsi"/>
        </w:rPr>
      </w:pPr>
    </w:p>
    <w:p w14:paraId="6855B332" w14:textId="77777777" w:rsidR="000514C6" w:rsidRPr="000514C6" w:rsidRDefault="000514C6" w:rsidP="00C07F52">
      <w:pPr>
        <w:spacing w:after="0" w:line="240" w:lineRule="auto"/>
        <w:rPr>
          <w:rFonts w:cstheme="minorHAnsi"/>
        </w:rPr>
      </w:pPr>
    </w:p>
    <w:p w14:paraId="378F1165" w14:textId="77777777" w:rsidR="000514C6" w:rsidRPr="000514C6" w:rsidRDefault="000514C6" w:rsidP="00C07F52">
      <w:pPr>
        <w:spacing w:after="0" w:line="240" w:lineRule="auto"/>
        <w:rPr>
          <w:rFonts w:cstheme="minorHAnsi"/>
        </w:rPr>
      </w:pPr>
    </w:p>
    <w:p w14:paraId="061FBFEA" w14:textId="77777777" w:rsidR="000514C6" w:rsidRPr="000514C6" w:rsidRDefault="000514C6" w:rsidP="00C07F52">
      <w:pPr>
        <w:spacing w:after="0" w:line="240" w:lineRule="auto"/>
        <w:rPr>
          <w:rFonts w:cstheme="minorHAnsi"/>
        </w:rPr>
      </w:pPr>
    </w:p>
    <w:p w14:paraId="52EECCCE" w14:textId="77777777" w:rsidR="000514C6" w:rsidRPr="000514C6" w:rsidRDefault="000514C6" w:rsidP="00C07F52">
      <w:pPr>
        <w:spacing w:after="0" w:line="240" w:lineRule="auto"/>
        <w:rPr>
          <w:rFonts w:cstheme="minorHAnsi"/>
        </w:rPr>
      </w:pPr>
    </w:p>
    <w:p w14:paraId="14E8C8BB" w14:textId="77777777" w:rsidR="000514C6" w:rsidRPr="000514C6" w:rsidRDefault="000514C6" w:rsidP="00C07F52">
      <w:pPr>
        <w:spacing w:after="0" w:line="240" w:lineRule="auto"/>
        <w:rPr>
          <w:rFonts w:cstheme="minorHAnsi"/>
        </w:rPr>
      </w:pPr>
    </w:p>
    <w:p w14:paraId="039F8140" w14:textId="77777777" w:rsidR="000514C6" w:rsidRPr="000514C6" w:rsidRDefault="000514C6" w:rsidP="00C07F52">
      <w:pPr>
        <w:spacing w:after="0" w:line="240" w:lineRule="auto"/>
        <w:rPr>
          <w:rFonts w:cstheme="minorHAnsi"/>
        </w:rPr>
      </w:pPr>
    </w:p>
    <w:p w14:paraId="1AF059A9" w14:textId="77777777" w:rsidR="000514C6" w:rsidRPr="000514C6" w:rsidRDefault="000514C6" w:rsidP="00C07F52">
      <w:pPr>
        <w:spacing w:after="0" w:line="240" w:lineRule="auto"/>
        <w:rPr>
          <w:rFonts w:cstheme="minorHAnsi"/>
        </w:rPr>
      </w:pPr>
    </w:p>
    <w:p w14:paraId="1B61964A" w14:textId="77777777" w:rsidR="000514C6" w:rsidRPr="000514C6" w:rsidRDefault="000514C6" w:rsidP="00C07F52">
      <w:pPr>
        <w:spacing w:after="0" w:line="240" w:lineRule="auto"/>
        <w:rPr>
          <w:rFonts w:cstheme="minorHAnsi"/>
        </w:rPr>
      </w:pPr>
    </w:p>
    <w:p w14:paraId="74AC8E53" w14:textId="77777777" w:rsidR="000514C6" w:rsidRPr="000514C6" w:rsidRDefault="000514C6" w:rsidP="00C07F52">
      <w:pPr>
        <w:spacing w:after="0" w:line="240" w:lineRule="auto"/>
        <w:rPr>
          <w:rFonts w:cstheme="minorHAnsi"/>
        </w:rPr>
      </w:pPr>
    </w:p>
    <w:p w14:paraId="2D355834" w14:textId="77777777" w:rsidR="000514C6" w:rsidRPr="000514C6" w:rsidRDefault="000514C6" w:rsidP="00C07F52">
      <w:pPr>
        <w:spacing w:after="0" w:line="240" w:lineRule="auto"/>
        <w:rPr>
          <w:rFonts w:cstheme="minorHAnsi"/>
        </w:rPr>
      </w:pPr>
    </w:p>
    <w:p w14:paraId="072E8DE6" w14:textId="77777777" w:rsidR="000514C6" w:rsidRPr="000514C6" w:rsidRDefault="000514C6" w:rsidP="00C07F52">
      <w:pPr>
        <w:spacing w:after="0" w:line="240" w:lineRule="auto"/>
        <w:rPr>
          <w:rFonts w:cstheme="minorHAnsi"/>
        </w:rPr>
      </w:pPr>
    </w:p>
    <w:p w14:paraId="30E4D0D2" w14:textId="77777777" w:rsidR="000514C6" w:rsidRPr="000514C6" w:rsidRDefault="000514C6" w:rsidP="00C07F52">
      <w:pPr>
        <w:spacing w:after="0" w:line="240" w:lineRule="auto"/>
        <w:rPr>
          <w:rFonts w:cstheme="minorHAnsi"/>
        </w:rPr>
      </w:pPr>
    </w:p>
    <w:p w14:paraId="0CEE3BED" w14:textId="77777777" w:rsidR="000514C6" w:rsidRPr="000514C6" w:rsidRDefault="000514C6" w:rsidP="00C07F52">
      <w:pPr>
        <w:spacing w:after="0" w:line="240" w:lineRule="auto"/>
        <w:rPr>
          <w:rFonts w:cstheme="minorHAnsi"/>
        </w:rPr>
      </w:pPr>
    </w:p>
    <w:p w14:paraId="32241ECC" w14:textId="77777777" w:rsidR="000514C6" w:rsidRPr="000514C6" w:rsidRDefault="000514C6" w:rsidP="00C07F52">
      <w:pPr>
        <w:spacing w:after="0" w:line="240" w:lineRule="auto"/>
        <w:rPr>
          <w:rFonts w:cstheme="minorHAnsi"/>
        </w:rPr>
      </w:pPr>
    </w:p>
    <w:p w14:paraId="57016172" w14:textId="77777777" w:rsidR="000514C6" w:rsidRPr="000514C6" w:rsidRDefault="000514C6" w:rsidP="00C07F52">
      <w:pPr>
        <w:spacing w:after="0" w:line="240" w:lineRule="auto"/>
        <w:rPr>
          <w:rFonts w:cstheme="minorHAnsi"/>
        </w:rPr>
      </w:pPr>
    </w:p>
    <w:p w14:paraId="1E7DD91C" w14:textId="77777777" w:rsidR="000514C6" w:rsidRPr="000514C6" w:rsidRDefault="000514C6" w:rsidP="00C07F52">
      <w:pPr>
        <w:spacing w:after="0" w:line="240" w:lineRule="auto"/>
        <w:rPr>
          <w:rFonts w:cstheme="minorHAnsi"/>
        </w:rPr>
      </w:pPr>
    </w:p>
    <w:p w14:paraId="35172F49" w14:textId="77777777" w:rsidR="000514C6" w:rsidRPr="000514C6" w:rsidRDefault="000514C6" w:rsidP="00C07F52">
      <w:pPr>
        <w:spacing w:after="0" w:line="240" w:lineRule="auto"/>
        <w:rPr>
          <w:rFonts w:cstheme="minorHAnsi"/>
        </w:rPr>
      </w:pPr>
    </w:p>
    <w:p w14:paraId="577CB149" w14:textId="77777777" w:rsidR="000514C6" w:rsidRPr="000514C6" w:rsidRDefault="000514C6" w:rsidP="00C07F52">
      <w:pPr>
        <w:spacing w:after="0" w:line="240" w:lineRule="auto"/>
        <w:rPr>
          <w:rFonts w:cstheme="minorHAnsi"/>
        </w:rPr>
      </w:pPr>
    </w:p>
    <w:p w14:paraId="48FE79B7" w14:textId="77777777" w:rsidR="000514C6" w:rsidRPr="000514C6" w:rsidRDefault="000514C6" w:rsidP="00C07F52">
      <w:pPr>
        <w:spacing w:after="0" w:line="240" w:lineRule="auto"/>
        <w:rPr>
          <w:rFonts w:cstheme="minorHAnsi"/>
        </w:rPr>
      </w:pPr>
    </w:p>
    <w:p w14:paraId="693ACAB8" w14:textId="77777777" w:rsidR="000514C6" w:rsidRPr="000514C6" w:rsidRDefault="000514C6" w:rsidP="00C07F52">
      <w:pPr>
        <w:spacing w:after="0" w:line="240" w:lineRule="auto"/>
        <w:rPr>
          <w:rFonts w:cstheme="minorHAnsi"/>
        </w:rPr>
      </w:pPr>
    </w:p>
    <w:p w14:paraId="3653D3CC" w14:textId="77777777" w:rsidR="000514C6" w:rsidRPr="000514C6" w:rsidRDefault="000514C6" w:rsidP="00C07F52">
      <w:pPr>
        <w:spacing w:after="0" w:line="240" w:lineRule="auto"/>
        <w:rPr>
          <w:rFonts w:cstheme="minorHAnsi"/>
        </w:rPr>
      </w:pPr>
    </w:p>
    <w:p w14:paraId="6262921B" w14:textId="77777777" w:rsidR="000514C6" w:rsidRPr="000514C6" w:rsidRDefault="000514C6" w:rsidP="00C07F52">
      <w:pPr>
        <w:spacing w:after="0" w:line="240" w:lineRule="auto"/>
        <w:rPr>
          <w:rFonts w:cstheme="minorHAnsi"/>
        </w:rPr>
      </w:pPr>
    </w:p>
    <w:p w14:paraId="65F3FF49" w14:textId="77777777" w:rsidR="000514C6" w:rsidRPr="000514C6" w:rsidRDefault="000514C6" w:rsidP="00C07F52">
      <w:pPr>
        <w:spacing w:after="0" w:line="240" w:lineRule="auto"/>
        <w:rPr>
          <w:rFonts w:cstheme="minorHAnsi"/>
        </w:rPr>
      </w:pPr>
    </w:p>
    <w:p w14:paraId="6D182281" w14:textId="77777777" w:rsidR="000514C6" w:rsidRPr="000514C6" w:rsidRDefault="000514C6" w:rsidP="00C07F52">
      <w:pPr>
        <w:spacing w:after="0" w:line="240" w:lineRule="auto"/>
        <w:rPr>
          <w:rFonts w:cstheme="minorHAnsi"/>
        </w:rPr>
      </w:pPr>
    </w:p>
    <w:p w14:paraId="15E6DA0D" w14:textId="77777777" w:rsidR="000514C6" w:rsidRPr="000514C6" w:rsidRDefault="000514C6" w:rsidP="00C07F52">
      <w:pPr>
        <w:spacing w:after="0" w:line="240" w:lineRule="auto"/>
        <w:rPr>
          <w:rFonts w:cstheme="minorHAnsi"/>
        </w:rPr>
      </w:pPr>
    </w:p>
    <w:p w14:paraId="6523B857" w14:textId="77777777" w:rsidR="000514C6" w:rsidRPr="000514C6" w:rsidRDefault="000514C6" w:rsidP="00C07F52">
      <w:pPr>
        <w:spacing w:after="0" w:line="240" w:lineRule="auto"/>
        <w:rPr>
          <w:rFonts w:cstheme="minorHAnsi"/>
        </w:rPr>
      </w:pPr>
    </w:p>
    <w:p w14:paraId="5FE63EDD" w14:textId="77777777" w:rsidR="000514C6" w:rsidRPr="000514C6" w:rsidRDefault="000514C6" w:rsidP="00C07F52">
      <w:pPr>
        <w:spacing w:after="0" w:line="240" w:lineRule="auto"/>
        <w:rPr>
          <w:rFonts w:cstheme="minorHAnsi"/>
        </w:rPr>
      </w:pPr>
    </w:p>
    <w:p w14:paraId="57D0BB68" w14:textId="77777777" w:rsidR="000514C6" w:rsidRPr="000514C6" w:rsidRDefault="000514C6" w:rsidP="00C07F52">
      <w:pPr>
        <w:spacing w:after="0" w:line="240" w:lineRule="auto"/>
        <w:rPr>
          <w:rFonts w:cstheme="minorHAnsi"/>
        </w:rPr>
      </w:pPr>
    </w:p>
    <w:p w14:paraId="4165CE98" w14:textId="77777777" w:rsidR="000514C6" w:rsidRPr="000514C6" w:rsidRDefault="000514C6" w:rsidP="00C07F52">
      <w:pPr>
        <w:spacing w:after="0" w:line="240" w:lineRule="auto"/>
        <w:rPr>
          <w:rFonts w:cstheme="minorHAnsi"/>
        </w:rPr>
      </w:pPr>
    </w:p>
    <w:p w14:paraId="751F09CA" w14:textId="77777777" w:rsidR="000514C6" w:rsidRPr="000514C6" w:rsidRDefault="000514C6" w:rsidP="00C07F52">
      <w:pPr>
        <w:spacing w:after="0" w:line="240" w:lineRule="auto"/>
        <w:rPr>
          <w:rFonts w:cstheme="minorHAnsi"/>
        </w:rPr>
      </w:pPr>
    </w:p>
    <w:p w14:paraId="7C6CEA9D" w14:textId="77777777" w:rsidR="000514C6" w:rsidRDefault="000514C6" w:rsidP="00C07F52">
      <w:pPr>
        <w:spacing w:after="0" w:line="240" w:lineRule="auto"/>
        <w:rPr>
          <w:rFonts w:cstheme="minorHAnsi"/>
          <w:b/>
          <w:bCs/>
        </w:rPr>
      </w:pPr>
    </w:p>
    <w:p w14:paraId="23E405A2" w14:textId="7B3C0B77" w:rsidR="002B1197" w:rsidRDefault="000514C6" w:rsidP="00C07F52">
      <w:pPr>
        <w:spacing w:after="0" w:line="240" w:lineRule="auto"/>
        <w:rPr>
          <w:rFonts w:cstheme="minorHAnsi"/>
          <w:b/>
          <w:bCs/>
        </w:rPr>
      </w:pPr>
      <w:r>
        <w:rPr>
          <w:rFonts w:cstheme="minorHAnsi"/>
          <w:b/>
          <w:bCs/>
        </w:rPr>
        <w:t xml:space="preserve">Appendix 5 - </w:t>
      </w:r>
      <w:r w:rsidR="002B1197" w:rsidRPr="000514C6">
        <w:rPr>
          <w:rFonts w:cstheme="minorHAnsi"/>
          <w:b/>
          <w:bCs/>
        </w:rPr>
        <w:t>Agenda for Pay Appeals</w:t>
      </w:r>
    </w:p>
    <w:p w14:paraId="4990CF43" w14:textId="536C2112" w:rsidR="000514C6" w:rsidRDefault="000514C6" w:rsidP="00C07F52">
      <w:pPr>
        <w:spacing w:after="0" w:line="240" w:lineRule="auto"/>
        <w:rPr>
          <w:rFonts w:cstheme="minorHAnsi"/>
          <w:b/>
          <w:bCs/>
        </w:rPr>
      </w:pPr>
    </w:p>
    <w:tbl>
      <w:tblPr>
        <w:tblStyle w:val="TableGrid"/>
        <w:tblW w:w="0" w:type="auto"/>
        <w:tblLook w:val="04A0" w:firstRow="1" w:lastRow="0" w:firstColumn="1" w:lastColumn="0" w:noHBand="0" w:noVBand="1"/>
      </w:tblPr>
      <w:tblGrid>
        <w:gridCol w:w="666"/>
        <w:gridCol w:w="8360"/>
      </w:tblGrid>
      <w:tr w:rsidR="000514C6" w:rsidRPr="000514C6" w14:paraId="7E1C996D" w14:textId="77777777" w:rsidTr="002F0D61">
        <w:tc>
          <w:tcPr>
            <w:tcW w:w="9242" w:type="dxa"/>
            <w:gridSpan w:val="2"/>
            <w:tcBorders>
              <w:top w:val="nil"/>
              <w:left w:val="nil"/>
              <w:bottom w:val="nil"/>
              <w:right w:val="nil"/>
            </w:tcBorders>
          </w:tcPr>
          <w:p w14:paraId="2A0788EC" w14:textId="3059F3E2" w:rsidR="000514C6" w:rsidRPr="000514C6" w:rsidRDefault="000514C6" w:rsidP="000514C6">
            <w:pPr>
              <w:rPr>
                <w:rFonts w:cstheme="minorHAnsi"/>
                <w:b/>
                <w:bCs/>
                <w:u w:val="single"/>
              </w:rPr>
            </w:pPr>
          </w:p>
        </w:tc>
      </w:tr>
      <w:tr w:rsidR="000514C6" w:rsidRPr="000514C6" w14:paraId="051E80D9" w14:textId="77777777" w:rsidTr="002F0D61">
        <w:tc>
          <w:tcPr>
            <w:tcW w:w="675" w:type="dxa"/>
            <w:tcBorders>
              <w:top w:val="nil"/>
              <w:left w:val="nil"/>
              <w:bottom w:val="nil"/>
              <w:right w:val="nil"/>
            </w:tcBorders>
          </w:tcPr>
          <w:p w14:paraId="2A36E6AE" w14:textId="77777777" w:rsidR="000514C6" w:rsidRPr="000514C6" w:rsidRDefault="000514C6" w:rsidP="000514C6">
            <w:pPr>
              <w:rPr>
                <w:rFonts w:cstheme="minorHAnsi"/>
                <w:b/>
                <w:bCs/>
              </w:rPr>
            </w:pPr>
          </w:p>
        </w:tc>
        <w:tc>
          <w:tcPr>
            <w:tcW w:w="8567" w:type="dxa"/>
            <w:tcBorders>
              <w:top w:val="nil"/>
              <w:left w:val="nil"/>
              <w:bottom w:val="nil"/>
              <w:right w:val="nil"/>
            </w:tcBorders>
          </w:tcPr>
          <w:p w14:paraId="173C7343" w14:textId="77777777" w:rsidR="000514C6" w:rsidRPr="000514C6" w:rsidRDefault="000514C6" w:rsidP="000514C6">
            <w:pPr>
              <w:rPr>
                <w:rFonts w:cstheme="minorHAnsi"/>
                <w:b/>
                <w:bCs/>
              </w:rPr>
            </w:pPr>
          </w:p>
        </w:tc>
      </w:tr>
      <w:tr w:rsidR="000514C6" w:rsidRPr="000514C6" w14:paraId="5CFF80EF" w14:textId="77777777" w:rsidTr="002F0D61">
        <w:tc>
          <w:tcPr>
            <w:tcW w:w="675" w:type="dxa"/>
            <w:tcBorders>
              <w:top w:val="nil"/>
              <w:left w:val="nil"/>
              <w:bottom w:val="nil"/>
              <w:right w:val="nil"/>
            </w:tcBorders>
          </w:tcPr>
          <w:p w14:paraId="7E41BE73" w14:textId="77777777" w:rsidR="000514C6" w:rsidRPr="000514C6" w:rsidRDefault="000514C6" w:rsidP="000514C6">
            <w:pPr>
              <w:rPr>
                <w:rFonts w:cstheme="minorHAnsi"/>
                <w:b/>
                <w:bCs/>
              </w:rPr>
            </w:pPr>
            <w:r w:rsidRPr="000514C6">
              <w:rPr>
                <w:rFonts w:cstheme="minorHAnsi"/>
                <w:b/>
                <w:bCs/>
              </w:rPr>
              <w:t>1.</w:t>
            </w:r>
          </w:p>
        </w:tc>
        <w:tc>
          <w:tcPr>
            <w:tcW w:w="8567" w:type="dxa"/>
            <w:tcBorders>
              <w:top w:val="nil"/>
              <w:left w:val="nil"/>
              <w:bottom w:val="nil"/>
              <w:right w:val="nil"/>
            </w:tcBorders>
          </w:tcPr>
          <w:p w14:paraId="3B3435C4" w14:textId="77777777" w:rsidR="000514C6" w:rsidRPr="000514C6" w:rsidRDefault="000514C6" w:rsidP="000514C6">
            <w:pPr>
              <w:rPr>
                <w:rFonts w:cstheme="minorHAnsi"/>
              </w:rPr>
            </w:pPr>
            <w:r w:rsidRPr="000514C6">
              <w:rPr>
                <w:rFonts w:cstheme="minorHAnsi"/>
                <w:b/>
              </w:rPr>
              <w:t>Introductions</w:t>
            </w:r>
          </w:p>
        </w:tc>
      </w:tr>
      <w:tr w:rsidR="000514C6" w:rsidRPr="000514C6" w14:paraId="09010879" w14:textId="77777777" w:rsidTr="002F0D61">
        <w:tc>
          <w:tcPr>
            <w:tcW w:w="675" w:type="dxa"/>
            <w:tcBorders>
              <w:top w:val="nil"/>
              <w:left w:val="nil"/>
              <w:bottom w:val="nil"/>
              <w:right w:val="nil"/>
            </w:tcBorders>
          </w:tcPr>
          <w:p w14:paraId="51023DC5" w14:textId="77777777" w:rsidR="000514C6" w:rsidRPr="000514C6" w:rsidRDefault="000514C6" w:rsidP="000514C6">
            <w:pPr>
              <w:rPr>
                <w:rFonts w:cstheme="minorHAnsi"/>
                <w:b/>
                <w:bCs/>
              </w:rPr>
            </w:pPr>
          </w:p>
        </w:tc>
        <w:tc>
          <w:tcPr>
            <w:tcW w:w="8567" w:type="dxa"/>
            <w:tcBorders>
              <w:top w:val="nil"/>
              <w:left w:val="nil"/>
              <w:bottom w:val="nil"/>
              <w:right w:val="nil"/>
            </w:tcBorders>
          </w:tcPr>
          <w:p w14:paraId="5E088C73" w14:textId="77777777" w:rsidR="000514C6" w:rsidRPr="000514C6" w:rsidRDefault="000514C6" w:rsidP="000514C6">
            <w:pPr>
              <w:rPr>
                <w:rFonts w:cstheme="minorHAnsi"/>
              </w:rPr>
            </w:pPr>
          </w:p>
        </w:tc>
      </w:tr>
      <w:tr w:rsidR="000514C6" w:rsidRPr="000514C6" w14:paraId="3B1AF188" w14:textId="77777777" w:rsidTr="002F0D61">
        <w:tc>
          <w:tcPr>
            <w:tcW w:w="675" w:type="dxa"/>
            <w:tcBorders>
              <w:top w:val="nil"/>
              <w:left w:val="nil"/>
              <w:bottom w:val="nil"/>
              <w:right w:val="nil"/>
            </w:tcBorders>
          </w:tcPr>
          <w:p w14:paraId="07AEC4A1" w14:textId="77777777" w:rsidR="000514C6" w:rsidRPr="000514C6" w:rsidRDefault="000514C6" w:rsidP="000514C6">
            <w:pPr>
              <w:rPr>
                <w:rFonts w:cstheme="minorHAnsi"/>
                <w:b/>
                <w:bCs/>
              </w:rPr>
            </w:pPr>
          </w:p>
        </w:tc>
        <w:tc>
          <w:tcPr>
            <w:tcW w:w="8567" w:type="dxa"/>
            <w:tcBorders>
              <w:top w:val="nil"/>
              <w:left w:val="nil"/>
              <w:bottom w:val="nil"/>
              <w:right w:val="nil"/>
            </w:tcBorders>
          </w:tcPr>
          <w:p w14:paraId="56BA1094" w14:textId="77777777" w:rsidR="000514C6" w:rsidRPr="000514C6" w:rsidRDefault="000514C6" w:rsidP="000514C6">
            <w:pPr>
              <w:rPr>
                <w:rFonts w:cstheme="minorHAnsi"/>
              </w:rPr>
            </w:pPr>
            <w:r w:rsidRPr="000514C6">
              <w:rPr>
                <w:rFonts w:cstheme="minorHAnsi"/>
              </w:rPr>
              <w:t>Having agreed the order of the agenda with all present, the Headteacher/chair introduces her/himself and allows an opportunity for all others present to do so.</w:t>
            </w:r>
          </w:p>
        </w:tc>
      </w:tr>
      <w:tr w:rsidR="000514C6" w:rsidRPr="000514C6" w14:paraId="6409EFC8" w14:textId="77777777" w:rsidTr="002F0D61">
        <w:tc>
          <w:tcPr>
            <w:tcW w:w="675" w:type="dxa"/>
            <w:tcBorders>
              <w:top w:val="nil"/>
              <w:left w:val="nil"/>
              <w:bottom w:val="nil"/>
              <w:right w:val="nil"/>
            </w:tcBorders>
          </w:tcPr>
          <w:p w14:paraId="13B0BA3D" w14:textId="77777777" w:rsidR="000514C6" w:rsidRPr="000514C6" w:rsidRDefault="000514C6" w:rsidP="000514C6">
            <w:pPr>
              <w:rPr>
                <w:rFonts w:cstheme="minorHAnsi"/>
                <w:b/>
                <w:bCs/>
              </w:rPr>
            </w:pPr>
          </w:p>
        </w:tc>
        <w:tc>
          <w:tcPr>
            <w:tcW w:w="8567" w:type="dxa"/>
            <w:tcBorders>
              <w:top w:val="nil"/>
              <w:left w:val="nil"/>
              <w:bottom w:val="nil"/>
              <w:right w:val="nil"/>
            </w:tcBorders>
          </w:tcPr>
          <w:p w14:paraId="7DE562BD" w14:textId="77777777" w:rsidR="000514C6" w:rsidRPr="000514C6" w:rsidRDefault="000514C6" w:rsidP="000514C6">
            <w:pPr>
              <w:rPr>
                <w:rFonts w:cstheme="minorHAnsi"/>
              </w:rPr>
            </w:pPr>
          </w:p>
        </w:tc>
      </w:tr>
      <w:tr w:rsidR="000514C6" w:rsidRPr="000514C6" w14:paraId="7EBF8FC1" w14:textId="77777777" w:rsidTr="002F0D61">
        <w:tc>
          <w:tcPr>
            <w:tcW w:w="675" w:type="dxa"/>
            <w:tcBorders>
              <w:top w:val="nil"/>
              <w:left w:val="nil"/>
              <w:bottom w:val="nil"/>
              <w:right w:val="nil"/>
            </w:tcBorders>
          </w:tcPr>
          <w:p w14:paraId="6C40C710" w14:textId="77777777" w:rsidR="000514C6" w:rsidRPr="000514C6" w:rsidRDefault="000514C6" w:rsidP="000514C6">
            <w:pPr>
              <w:rPr>
                <w:rFonts w:cstheme="minorHAnsi"/>
                <w:b/>
                <w:bCs/>
              </w:rPr>
            </w:pPr>
            <w:r w:rsidRPr="000514C6">
              <w:rPr>
                <w:rFonts w:cstheme="minorHAnsi"/>
                <w:b/>
                <w:bCs/>
              </w:rPr>
              <w:t>2.</w:t>
            </w:r>
          </w:p>
        </w:tc>
        <w:tc>
          <w:tcPr>
            <w:tcW w:w="8567" w:type="dxa"/>
            <w:tcBorders>
              <w:top w:val="nil"/>
              <w:left w:val="nil"/>
              <w:bottom w:val="nil"/>
              <w:right w:val="nil"/>
            </w:tcBorders>
          </w:tcPr>
          <w:p w14:paraId="0C2190E0" w14:textId="77777777" w:rsidR="000514C6" w:rsidRPr="000514C6" w:rsidRDefault="000514C6" w:rsidP="000514C6">
            <w:pPr>
              <w:rPr>
                <w:rFonts w:cstheme="minorHAnsi"/>
                <w:b/>
              </w:rPr>
            </w:pPr>
            <w:r w:rsidRPr="000514C6">
              <w:rPr>
                <w:rFonts w:cstheme="minorHAnsi"/>
                <w:b/>
              </w:rPr>
              <w:t>Nature of the complaint</w:t>
            </w:r>
          </w:p>
        </w:tc>
      </w:tr>
      <w:tr w:rsidR="000514C6" w:rsidRPr="000514C6" w14:paraId="03A3E5D1" w14:textId="77777777" w:rsidTr="002F0D61">
        <w:tc>
          <w:tcPr>
            <w:tcW w:w="675" w:type="dxa"/>
            <w:tcBorders>
              <w:top w:val="nil"/>
              <w:left w:val="nil"/>
              <w:bottom w:val="nil"/>
              <w:right w:val="nil"/>
            </w:tcBorders>
          </w:tcPr>
          <w:p w14:paraId="15FAC9AA" w14:textId="77777777" w:rsidR="000514C6" w:rsidRPr="000514C6" w:rsidRDefault="000514C6" w:rsidP="000514C6">
            <w:pPr>
              <w:rPr>
                <w:rFonts w:cstheme="minorHAnsi"/>
                <w:b/>
                <w:bCs/>
              </w:rPr>
            </w:pPr>
          </w:p>
        </w:tc>
        <w:tc>
          <w:tcPr>
            <w:tcW w:w="8567" w:type="dxa"/>
            <w:tcBorders>
              <w:top w:val="nil"/>
              <w:left w:val="nil"/>
              <w:bottom w:val="nil"/>
              <w:right w:val="nil"/>
            </w:tcBorders>
          </w:tcPr>
          <w:p w14:paraId="51173D9F" w14:textId="77777777" w:rsidR="000514C6" w:rsidRPr="000514C6" w:rsidRDefault="000514C6" w:rsidP="000514C6">
            <w:pPr>
              <w:rPr>
                <w:rFonts w:cstheme="minorHAnsi"/>
              </w:rPr>
            </w:pPr>
          </w:p>
        </w:tc>
      </w:tr>
      <w:tr w:rsidR="000514C6" w:rsidRPr="000514C6" w14:paraId="1E7A55C6" w14:textId="77777777" w:rsidTr="002F0D61">
        <w:tc>
          <w:tcPr>
            <w:tcW w:w="675" w:type="dxa"/>
            <w:tcBorders>
              <w:top w:val="nil"/>
              <w:left w:val="nil"/>
              <w:bottom w:val="nil"/>
              <w:right w:val="nil"/>
            </w:tcBorders>
          </w:tcPr>
          <w:p w14:paraId="41B4295D" w14:textId="77777777" w:rsidR="000514C6" w:rsidRPr="000514C6" w:rsidRDefault="000514C6" w:rsidP="000514C6">
            <w:pPr>
              <w:rPr>
                <w:rFonts w:cstheme="minorHAnsi"/>
                <w:b/>
                <w:bCs/>
              </w:rPr>
            </w:pPr>
          </w:p>
        </w:tc>
        <w:tc>
          <w:tcPr>
            <w:tcW w:w="8567" w:type="dxa"/>
            <w:tcBorders>
              <w:top w:val="nil"/>
              <w:left w:val="nil"/>
              <w:bottom w:val="nil"/>
              <w:right w:val="nil"/>
            </w:tcBorders>
          </w:tcPr>
          <w:p w14:paraId="37A3B598" w14:textId="77777777" w:rsidR="000514C6" w:rsidRPr="000514C6" w:rsidRDefault="000514C6" w:rsidP="000514C6">
            <w:pPr>
              <w:rPr>
                <w:rFonts w:cstheme="minorHAnsi"/>
              </w:rPr>
            </w:pPr>
            <w:r w:rsidRPr="000514C6">
              <w:rPr>
                <w:rFonts w:cstheme="minorHAnsi"/>
              </w:rPr>
              <w:t>The Chair of the Pay Appeal Panel checks that all parties have the relevant documents and identifies the specific complaint.</w:t>
            </w:r>
          </w:p>
        </w:tc>
      </w:tr>
      <w:tr w:rsidR="000514C6" w:rsidRPr="000514C6" w14:paraId="74A67CA3" w14:textId="77777777" w:rsidTr="002F0D61">
        <w:tc>
          <w:tcPr>
            <w:tcW w:w="675" w:type="dxa"/>
            <w:tcBorders>
              <w:top w:val="nil"/>
              <w:left w:val="nil"/>
              <w:bottom w:val="nil"/>
              <w:right w:val="nil"/>
            </w:tcBorders>
          </w:tcPr>
          <w:p w14:paraId="56394054" w14:textId="77777777" w:rsidR="000514C6" w:rsidRPr="000514C6" w:rsidRDefault="000514C6" w:rsidP="000514C6">
            <w:pPr>
              <w:rPr>
                <w:rFonts w:cstheme="minorHAnsi"/>
                <w:b/>
                <w:bCs/>
              </w:rPr>
            </w:pPr>
          </w:p>
        </w:tc>
        <w:tc>
          <w:tcPr>
            <w:tcW w:w="8567" w:type="dxa"/>
            <w:tcBorders>
              <w:top w:val="nil"/>
              <w:left w:val="nil"/>
              <w:bottom w:val="nil"/>
              <w:right w:val="nil"/>
            </w:tcBorders>
          </w:tcPr>
          <w:p w14:paraId="6D65C794" w14:textId="77777777" w:rsidR="000514C6" w:rsidRPr="000514C6" w:rsidRDefault="000514C6" w:rsidP="000514C6">
            <w:pPr>
              <w:rPr>
                <w:rFonts w:cstheme="minorHAnsi"/>
              </w:rPr>
            </w:pPr>
          </w:p>
        </w:tc>
      </w:tr>
      <w:tr w:rsidR="000514C6" w:rsidRPr="000514C6" w14:paraId="21F59241" w14:textId="77777777" w:rsidTr="002F0D61">
        <w:tc>
          <w:tcPr>
            <w:tcW w:w="675" w:type="dxa"/>
            <w:tcBorders>
              <w:top w:val="nil"/>
              <w:left w:val="nil"/>
              <w:bottom w:val="nil"/>
              <w:right w:val="nil"/>
            </w:tcBorders>
          </w:tcPr>
          <w:p w14:paraId="32086D6E" w14:textId="77777777" w:rsidR="000514C6" w:rsidRPr="000514C6" w:rsidRDefault="000514C6" w:rsidP="000514C6">
            <w:pPr>
              <w:rPr>
                <w:rFonts w:cstheme="minorHAnsi"/>
                <w:b/>
                <w:bCs/>
              </w:rPr>
            </w:pPr>
            <w:r w:rsidRPr="000514C6">
              <w:rPr>
                <w:rFonts w:cstheme="minorHAnsi"/>
                <w:b/>
                <w:bCs/>
              </w:rPr>
              <w:t>3.</w:t>
            </w:r>
          </w:p>
        </w:tc>
        <w:tc>
          <w:tcPr>
            <w:tcW w:w="8567" w:type="dxa"/>
            <w:tcBorders>
              <w:top w:val="nil"/>
              <w:left w:val="nil"/>
              <w:bottom w:val="nil"/>
              <w:right w:val="nil"/>
            </w:tcBorders>
          </w:tcPr>
          <w:p w14:paraId="085AE450" w14:textId="77777777" w:rsidR="000514C6" w:rsidRPr="000514C6" w:rsidRDefault="000514C6" w:rsidP="000514C6">
            <w:pPr>
              <w:rPr>
                <w:rFonts w:cstheme="minorHAnsi"/>
              </w:rPr>
            </w:pPr>
            <w:r w:rsidRPr="000514C6">
              <w:rPr>
                <w:rFonts w:cstheme="minorHAnsi"/>
                <w:b/>
                <w:bCs/>
              </w:rPr>
              <w:t>Presentation by management</w:t>
            </w:r>
          </w:p>
        </w:tc>
      </w:tr>
      <w:tr w:rsidR="000514C6" w:rsidRPr="000514C6" w14:paraId="60CFF766" w14:textId="77777777" w:rsidTr="002F0D61">
        <w:tc>
          <w:tcPr>
            <w:tcW w:w="675" w:type="dxa"/>
            <w:tcBorders>
              <w:top w:val="nil"/>
              <w:left w:val="nil"/>
              <w:bottom w:val="nil"/>
              <w:right w:val="nil"/>
            </w:tcBorders>
          </w:tcPr>
          <w:p w14:paraId="64F87C23" w14:textId="77777777" w:rsidR="000514C6" w:rsidRPr="000514C6" w:rsidRDefault="000514C6" w:rsidP="000514C6">
            <w:pPr>
              <w:rPr>
                <w:rFonts w:cstheme="minorHAnsi"/>
                <w:b/>
                <w:bCs/>
              </w:rPr>
            </w:pPr>
          </w:p>
        </w:tc>
        <w:tc>
          <w:tcPr>
            <w:tcW w:w="8567" w:type="dxa"/>
            <w:tcBorders>
              <w:top w:val="nil"/>
              <w:left w:val="nil"/>
              <w:bottom w:val="nil"/>
              <w:right w:val="nil"/>
            </w:tcBorders>
          </w:tcPr>
          <w:p w14:paraId="2BBF3138" w14:textId="77777777" w:rsidR="000514C6" w:rsidRPr="000514C6" w:rsidRDefault="000514C6" w:rsidP="000514C6">
            <w:pPr>
              <w:rPr>
                <w:rFonts w:cstheme="minorHAnsi"/>
              </w:rPr>
            </w:pPr>
          </w:p>
        </w:tc>
      </w:tr>
      <w:tr w:rsidR="000514C6" w:rsidRPr="000514C6" w14:paraId="480475FD" w14:textId="77777777" w:rsidTr="002F0D61">
        <w:tc>
          <w:tcPr>
            <w:tcW w:w="675" w:type="dxa"/>
            <w:tcBorders>
              <w:top w:val="nil"/>
              <w:left w:val="nil"/>
              <w:bottom w:val="nil"/>
              <w:right w:val="nil"/>
            </w:tcBorders>
          </w:tcPr>
          <w:p w14:paraId="2552FDE4" w14:textId="77777777" w:rsidR="000514C6" w:rsidRPr="000514C6" w:rsidRDefault="000514C6" w:rsidP="000514C6">
            <w:pPr>
              <w:rPr>
                <w:rFonts w:cstheme="minorHAnsi"/>
                <w:b/>
                <w:bCs/>
              </w:rPr>
            </w:pPr>
          </w:p>
        </w:tc>
        <w:tc>
          <w:tcPr>
            <w:tcW w:w="8567" w:type="dxa"/>
            <w:tcBorders>
              <w:top w:val="nil"/>
              <w:left w:val="nil"/>
              <w:bottom w:val="nil"/>
              <w:right w:val="nil"/>
            </w:tcBorders>
          </w:tcPr>
          <w:p w14:paraId="7BE2D4A3" w14:textId="77777777" w:rsidR="000514C6" w:rsidRPr="000514C6" w:rsidRDefault="000514C6" w:rsidP="000514C6">
            <w:pPr>
              <w:rPr>
                <w:rFonts w:cstheme="minorHAnsi"/>
              </w:rPr>
            </w:pPr>
            <w:r w:rsidRPr="000514C6">
              <w:rPr>
                <w:rFonts w:cstheme="minorHAnsi"/>
              </w:rPr>
              <w:t>The original decision maker explains that basis on which the original pay decision was made. This may include oral statements from the appraiser or pay recommender.</w:t>
            </w:r>
          </w:p>
        </w:tc>
      </w:tr>
      <w:tr w:rsidR="000514C6" w:rsidRPr="000514C6" w14:paraId="7F3F2734" w14:textId="77777777" w:rsidTr="002F0D61">
        <w:tc>
          <w:tcPr>
            <w:tcW w:w="675" w:type="dxa"/>
            <w:tcBorders>
              <w:top w:val="nil"/>
              <w:left w:val="nil"/>
              <w:bottom w:val="nil"/>
              <w:right w:val="nil"/>
            </w:tcBorders>
          </w:tcPr>
          <w:p w14:paraId="6E2F3FA7" w14:textId="77777777" w:rsidR="000514C6" w:rsidRPr="000514C6" w:rsidRDefault="000514C6" w:rsidP="000514C6">
            <w:pPr>
              <w:rPr>
                <w:rFonts w:cstheme="minorHAnsi"/>
                <w:b/>
                <w:bCs/>
              </w:rPr>
            </w:pPr>
          </w:p>
        </w:tc>
        <w:tc>
          <w:tcPr>
            <w:tcW w:w="8567" w:type="dxa"/>
            <w:tcBorders>
              <w:top w:val="nil"/>
              <w:left w:val="nil"/>
              <w:bottom w:val="nil"/>
              <w:right w:val="nil"/>
            </w:tcBorders>
          </w:tcPr>
          <w:p w14:paraId="25A9D438" w14:textId="77777777" w:rsidR="000514C6" w:rsidRPr="000514C6" w:rsidRDefault="000514C6" w:rsidP="000514C6">
            <w:pPr>
              <w:rPr>
                <w:rFonts w:cstheme="minorHAnsi"/>
              </w:rPr>
            </w:pPr>
          </w:p>
        </w:tc>
      </w:tr>
      <w:tr w:rsidR="000514C6" w:rsidRPr="000514C6" w14:paraId="5B903543" w14:textId="77777777" w:rsidTr="002F0D61">
        <w:tc>
          <w:tcPr>
            <w:tcW w:w="675" w:type="dxa"/>
            <w:tcBorders>
              <w:top w:val="nil"/>
              <w:left w:val="nil"/>
              <w:bottom w:val="nil"/>
              <w:right w:val="nil"/>
            </w:tcBorders>
          </w:tcPr>
          <w:p w14:paraId="34D0054E" w14:textId="77777777" w:rsidR="000514C6" w:rsidRPr="000514C6" w:rsidRDefault="000514C6" w:rsidP="000514C6">
            <w:pPr>
              <w:rPr>
                <w:rFonts w:cstheme="minorHAnsi"/>
                <w:b/>
                <w:bCs/>
              </w:rPr>
            </w:pPr>
            <w:r w:rsidRPr="000514C6">
              <w:rPr>
                <w:rFonts w:cstheme="minorHAnsi"/>
                <w:b/>
                <w:bCs/>
              </w:rPr>
              <w:t>4.</w:t>
            </w:r>
          </w:p>
        </w:tc>
        <w:tc>
          <w:tcPr>
            <w:tcW w:w="8567" w:type="dxa"/>
            <w:tcBorders>
              <w:top w:val="nil"/>
              <w:left w:val="nil"/>
              <w:bottom w:val="nil"/>
              <w:right w:val="nil"/>
            </w:tcBorders>
          </w:tcPr>
          <w:p w14:paraId="2B684E4A" w14:textId="77777777" w:rsidR="000514C6" w:rsidRPr="000514C6" w:rsidRDefault="000514C6" w:rsidP="000514C6">
            <w:pPr>
              <w:rPr>
                <w:rFonts w:cstheme="minorHAnsi"/>
              </w:rPr>
            </w:pPr>
            <w:r w:rsidRPr="000514C6">
              <w:rPr>
                <w:rFonts w:cstheme="minorHAnsi"/>
                <w:b/>
                <w:bCs/>
              </w:rPr>
              <w:t>Questions by member of staff</w:t>
            </w:r>
          </w:p>
        </w:tc>
      </w:tr>
      <w:tr w:rsidR="000514C6" w:rsidRPr="000514C6" w14:paraId="4D4525F8" w14:textId="77777777" w:rsidTr="002F0D61">
        <w:tc>
          <w:tcPr>
            <w:tcW w:w="675" w:type="dxa"/>
            <w:tcBorders>
              <w:top w:val="nil"/>
              <w:left w:val="nil"/>
              <w:bottom w:val="nil"/>
              <w:right w:val="nil"/>
            </w:tcBorders>
          </w:tcPr>
          <w:p w14:paraId="46583703" w14:textId="77777777" w:rsidR="000514C6" w:rsidRPr="000514C6" w:rsidRDefault="000514C6" w:rsidP="000514C6">
            <w:pPr>
              <w:rPr>
                <w:rFonts w:cstheme="minorHAnsi"/>
                <w:b/>
                <w:bCs/>
              </w:rPr>
            </w:pPr>
          </w:p>
        </w:tc>
        <w:tc>
          <w:tcPr>
            <w:tcW w:w="8567" w:type="dxa"/>
            <w:tcBorders>
              <w:top w:val="nil"/>
              <w:left w:val="nil"/>
              <w:bottom w:val="nil"/>
              <w:right w:val="nil"/>
            </w:tcBorders>
          </w:tcPr>
          <w:p w14:paraId="4143489A" w14:textId="77777777" w:rsidR="000514C6" w:rsidRPr="000514C6" w:rsidRDefault="000514C6" w:rsidP="000514C6">
            <w:pPr>
              <w:rPr>
                <w:rFonts w:cstheme="minorHAnsi"/>
              </w:rPr>
            </w:pPr>
          </w:p>
        </w:tc>
      </w:tr>
      <w:tr w:rsidR="000514C6" w:rsidRPr="000514C6" w14:paraId="7A9A5C65" w14:textId="77777777" w:rsidTr="002F0D61">
        <w:tc>
          <w:tcPr>
            <w:tcW w:w="675" w:type="dxa"/>
            <w:tcBorders>
              <w:top w:val="nil"/>
              <w:left w:val="nil"/>
              <w:bottom w:val="nil"/>
              <w:right w:val="nil"/>
            </w:tcBorders>
          </w:tcPr>
          <w:p w14:paraId="70CE75C1" w14:textId="77777777" w:rsidR="000514C6" w:rsidRPr="000514C6" w:rsidRDefault="000514C6" w:rsidP="000514C6">
            <w:pPr>
              <w:rPr>
                <w:rFonts w:cstheme="minorHAnsi"/>
                <w:b/>
                <w:bCs/>
              </w:rPr>
            </w:pPr>
          </w:p>
        </w:tc>
        <w:tc>
          <w:tcPr>
            <w:tcW w:w="8567" w:type="dxa"/>
            <w:tcBorders>
              <w:top w:val="nil"/>
              <w:left w:val="nil"/>
              <w:bottom w:val="nil"/>
              <w:right w:val="nil"/>
            </w:tcBorders>
          </w:tcPr>
          <w:p w14:paraId="3B886513" w14:textId="77777777" w:rsidR="000514C6" w:rsidRPr="000514C6" w:rsidRDefault="000514C6" w:rsidP="000514C6">
            <w:pPr>
              <w:rPr>
                <w:rFonts w:cstheme="minorHAnsi"/>
                <w:b/>
                <w:bCs/>
              </w:rPr>
            </w:pPr>
            <w:r w:rsidRPr="000514C6">
              <w:rPr>
                <w:rFonts w:cstheme="minorHAnsi"/>
              </w:rPr>
              <w:t>The member of staff and/or companion may question the original decision maker and any other person giving oral statements.</w:t>
            </w:r>
          </w:p>
        </w:tc>
      </w:tr>
      <w:tr w:rsidR="000514C6" w:rsidRPr="000514C6" w14:paraId="3380EA71" w14:textId="77777777" w:rsidTr="002F0D61">
        <w:tc>
          <w:tcPr>
            <w:tcW w:w="675" w:type="dxa"/>
            <w:tcBorders>
              <w:top w:val="nil"/>
              <w:left w:val="nil"/>
              <w:bottom w:val="nil"/>
              <w:right w:val="nil"/>
            </w:tcBorders>
          </w:tcPr>
          <w:p w14:paraId="0ED78E5F" w14:textId="77777777" w:rsidR="000514C6" w:rsidRPr="000514C6" w:rsidRDefault="000514C6" w:rsidP="000514C6">
            <w:pPr>
              <w:rPr>
                <w:rFonts w:cstheme="minorHAnsi"/>
                <w:b/>
                <w:bCs/>
              </w:rPr>
            </w:pPr>
          </w:p>
        </w:tc>
        <w:tc>
          <w:tcPr>
            <w:tcW w:w="8567" w:type="dxa"/>
            <w:tcBorders>
              <w:top w:val="nil"/>
              <w:left w:val="nil"/>
              <w:bottom w:val="nil"/>
              <w:right w:val="nil"/>
            </w:tcBorders>
          </w:tcPr>
          <w:p w14:paraId="7E7D99C4" w14:textId="77777777" w:rsidR="000514C6" w:rsidRPr="000514C6" w:rsidRDefault="000514C6" w:rsidP="000514C6">
            <w:pPr>
              <w:rPr>
                <w:rFonts w:cstheme="minorHAnsi"/>
                <w:b/>
                <w:bCs/>
              </w:rPr>
            </w:pPr>
          </w:p>
        </w:tc>
      </w:tr>
      <w:tr w:rsidR="000514C6" w:rsidRPr="000514C6" w14:paraId="0E426A99" w14:textId="77777777" w:rsidTr="002F0D61">
        <w:tc>
          <w:tcPr>
            <w:tcW w:w="675" w:type="dxa"/>
            <w:tcBorders>
              <w:top w:val="nil"/>
              <w:left w:val="nil"/>
              <w:bottom w:val="nil"/>
              <w:right w:val="nil"/>
            </w:tcBorders>
          </w:tcPr>
          <w:p w14:paraId="73AEBCCD" w14:textId="77777777" w:rsidR="000514C6" w:rsidRPr="000514C6" w:rsidRDefault="000514C6" w:rsidP="000514C6">
            <w:pPr>
              <w:rPr>
                <w:rFonts w:cstheme="minorHAnsi"/>
                <w:b/>
                <w:bCs/>
              </w:rPr>
            </w:pPr>
            <w:r w:rsidRPr="000514C6">
              <w:rPr>
                <w:rFonts w:cstheme="minorHAnsi"/>
                <w:b/>
                <w:bCs/>
              </w:rPr>
              <w:t>5.</w:t>
            </w:r>
          </w:p>
        </w:tc>
        <w:tc>
          <w:tcPr>
            <w:tcW w:w="8567" w:type="dxa"/>
            <w:tcBorders>
              <w:top w:val="nil"/>
              <w:left w:val="nil"/>
              <w:bottom w:val="nil"/>
              <w:right w:val="nil"/>
            </w:tcBorders>
          </w:tcPr>
          <w:p w14:paraId="118DF6D1" w14:textId="77777777" w:rsidR="000514C6" w:rsidRPr="000514C6" w:rsidRDefault="000514C6" w:rsidP="000514C6">
            <w:pPr>
              <w:rPr>
                <w:rFonts w:cstheme="minorHAnsi"/>
              </w:rPr>
            </w:pPr>
            <w:r w:rsidRPr="000514C6">
              <w:rPr>
                <w:rFonts w:cstheme="minorHAnsi"/>
                <w:b/>
                <w:bCs/>
              </w:rPr>
              <w:t>Questions by the Panel</w:t>
            </w:r>
          </w:p>
        </w:tc>
      </w:tr>
      <w:tr w:rsidR="000514C6" w:rsidRPr="000514C6" w14:paraId="79A4B813" w14:textId="77777777" w:rsidTr="002F0D61">
        <w:tc>
          <w:tcPr>
            <w:tcW w:w="675" w:type="dxa"/>
            <w:tcBorders>
              <w:top w:val="nil"/>
              <w:left w:val="nil"/>
              <w:bottom w:val="nil"/>
              <w:right w:val="nil"/>
            </w:tcBorders>
          </w:tcPr>
          <w:p w14:paraId="25002BAD" w14:textId="77777777" w:rsidR="000514C6" w:rsidRPr="000514C6" w:rsidRDefault="000514C6" w:rsidP="000514C6">
            <w:pPr>
              <w:rPr>
                <w:rFonts w:cstheme="minorHAnsi"/>
                <w:b/>
                <w:bCs/>
              </w:rPr>
            </w:pPr>
          </w:p>
        </w:tc>
        <w:tc>
          <w:tcPr>
            <w:tcW w:w="8567" w:type="dxa"/>
            <w:tcBorders>
              <w:top w:val="nil"/>
              <w:left w:val="nil"/>
              <w:bottom w:val="nil"/>
              <w:right w:val="nil"/>
            </w:tcBorders>
          </w:tcPr>
          <w:p w14:paraId="12985940" w14:textId="77777777" w:rsidR="000514C6" w:rsidRPr="000514C6" w:rsidRDefault="000514C6" w:rsidP="000514C6">
            <w:pPr>
              <w:rPr>
                <w:rFonts w:cstheme="minorHAnsi"/>
              </w:rPr>
            </w:pPr>
          </w:p>
        </w:tc>
      </w:tr>
      <w:tr w:rsidR="000514C6" w:rsidRPr="000514C6" w14:paraId="61605C00" w14:textId="77777777" w:rsidTr="002F0D61">
        <w:tc>
          <w:tcPr>
            <w:tcW w:w="675" w:type="dxa"/>
            <w:tcBorders>
              <w:top w:val="nil"/>
              <w:left w:val="nil"/>
              <w:bottom w:val="nil"/>
              <w:right w:val="nil"/>
            </w:tcBorders>
          </w:tcPr>
          <w:p w14:paraId="3F36AA36" w14:textId="77777777" w:rsidR="000514C6" w:rsidRPr="000514C6" w:rsidRDefault="000514C6" w:rsidP="000514C6">
            <w:pPr>
              <w:rPr>
                <w:rFonts w:cstheme="minorHAnsi"/>
                <w:b/>
                <w:bCs/>
              </w:rPr>
            </w:pPr>
          </w:p>
        </w:tc>
        <w:tc>
          <w:tcPr>
            <w:tcW w:w="8567" w:type="dxa"/>
            <w:tcBorders>
              <w:top w:val="nil"/>
              <w:left w:val="nil"/>
              <w:bottom w:val="nil"/>
              <w:right w:val="nil"/>
            </w:tcBorders>
          </w:tcPr>
          <w:p w14:paraId="2F2CB674" w14:textId="7B5D439D" w:rsidR="000514C6" w:rsidRPr="000514C6" w:rsidRDefault="000514C6" w:rsidP="000514C6">
            <w:pPr>
              <w:rPr>
                <w:rFonts w:cstheme="minorHAnsi"/>
                <w:b/>
                <w:bCs/>
              </w:rPr>
            </w:pPr>
            <w:r w:rsidRPr="000514C6">
              <w:rPr>
                <w:rFonts w:cstheme="minorHAnsi"/>
              </w:rPr>
              <w:t xml:space="preserve">Members of the Pay Appeal </w:t>
            </w:r>
            <w:r w:rsidR="00ED2EA3">
              <w:rPr>
                <w:rFonts w:cstheme="minorHAnsi"/>
              </w:rPr>
              <w:t xml:space="preserve">Panel </w:t>
            </w:r>
            <w:r w:rsidRPr="000514C6">
              <w:rPr>
                <w:rFonts w:cstheme="minorHAnsi"/>
              </w:rPr>
              <w:t>may question the original decision maker and any other person giving oral statements.</w:t>
            </w:r>
          </w:p>
        </w:tc>
      </w:tr>
      <w:tr w:rsidR="000514C6" w:rsidRPr="000514C6" w14:paraId="4A488AFA" w14:textId="77777777" w:rsidTr="002F0D61">
        <w:tc>
          <w:tcPr>
            <w:tcW w:w="675" w:type="dxa"/>
            <w:tcBorders>
              <w:top w:val="nil"/>
              <w:left w:val="nil"/>
              <w:bottom w:val="nil"/>
              <w:right w:val="nil"/>
            </w:tcBorders>
          </w:tcPr>
          <w:p w14:paraId="48B6605D" w14:textId="77777777" w:rsidR="000514C6" w:rsidRPr="000514C6" w:rsidRDefault="000514C6" w:rsidP="000514C6">
            <w:pPr>
              <w:rPr>
                <w:rFonts w:cstheme="minorHAnsi"/>
                <w:b/>
                <w:bCs/>
              </w:rPr>
            </w:pPr>
          </w:p>
        </w:tc>
        <w:tc>
          <w:tcPr>
            <w:tcW w:w="8567" w:type="dxa"/>
            <w:tcBorders>
              <w:top w:val="nil"/>
              <w:left w:val="nil"/>
              <w:bottom w:val="nil"/>
              <w:right w:val="nil"/>
            </w:tcBorders>
          </w:tcPr>
          <w:p w14:paraId="179BAD00" w14:textId="77777777" w:rsidR="000514C6" w:rsidRPr="000514C6" w:rsidRDefault="000514C6" w:rsidP="000514C6">
            <w:pPr>
              <w:rPr>
                <w:rFonts w:cstheme="minorHAnsi"/>
                <w:b/>
                <w:bCs/>
              </w:rPr>
            </w:pPr>
          </w:p>
        </w:tc>
      </w:tr>
      <w:tr w:rsidR="000514C6" w:rsidRPr="000514C6" w14:paraId="35EF05EE" w14:textId="77777777" w:rsidTr="002F0D61">
        <w:tc>
          <w:tcPr>
            <w:tcW w:w="675" w:type="dxa"/>
            <w:tcBorders>
              <w:top w:val="nil"/>
              <w:left w:val="nil"/>
              <w:bottom w:val="nil"/>
              <w:right w:val="nil"/>
            </w:tcBorders>
          </w:tcPr>
          <w:p w14:paraId="5C087894" w14:textId="77777777" w:rsidR="000514C6" w:rsidRPr="000514C6" w:rsidRDefault="000514C6" w:rsidP="000514C6">
            <w:pPr>
              <w:rPr>
                <w:rFonts w:cstheme="minorHAnsi"/>
                <w:b/>
                <w:bCs/>
              </w:rPr>
            </w:pPr>
            <w:r w:rsidRPr="000514C6">
              <w:rPr>
                <w:rFonts w:cstheme="minorHAnsi"/>
                <w:b/>
                <w:bCs/>
              </w:rPr>
              <w:t>6.</w:t>
            </w:r>
          </w:p>
        </w:tc>
        <w:tc>
          <w:tcPr>
            <w:tcW w:w="8567" w:type="dxa"/>
            <w:tcBorders>
              <w:top w:val="nil"/>
              <w:left w:val="nil"/>
              <w:bottom w:val="nil"/>
              <w:right w:val="nil"/>
            </w:tcBorders>
          </w:tcPr>
          <w:p w14:paraId="4C06A4D9" w14:textId="77777777" w:rsidR="000514C6" w:rsidRPr="000514C6" w:rsidRDefault="000514C6" w:rsidP="000514C6">
            <w:pPr>
              <w:rPr>
                <w:rFonts w:cstheme="minorHAnsi"/>
              </w:rPr>
            </w:pPr>
            <w:r w:rsidRPr="000514C6">
              <w:rPr>
                <w:rFonts w:cstheme="minorHAnsi"/>
                <w:b/>
                <w:bCs/>
              </w:rPr>
              <w:t>Presentation by member of staff</w:t>
            </w:r>
          </w:p>
        </w:tc>
      </w:tr>
      <w:tr w:rsidR="000514C6" w:rsidRPr="000514C6" w14:paraId="74CEDD11" w14:textId="77777777" w:rsidTr="002F0D61">
        <w:tc>
          <w:tcPr>
            <w:tcW w:w="675" w:type="dxa"/>
            <w:tcBorders>
              <w:top w:val="nil"/>
              <w:left w:val="nil"/>
              <w:bottom w:val="nil"/>
              <w:right w:val="nil"/>
            </w:tcBorders>
          </w:tcPr>
          <w:p w14:paraId="2DC340EC" w14:textId="77777777" w:rsidR="000514C6" w:rsidRPr="000514C6" w:rsidRDefault="000514C6" w:rsidP="000514C6">
            <w:pPr>
              <w:rPr>
                <w:rFonts w:cstheme="minorHAnsi"/>
                <w:b/>
                <w:bCs/>
              </w:rPr>
            </w:pPr>
          </w:p>
        </w:tc>
        <w:tc>
          <w:tcPr>
            <w:tcW w:w="8567" w:type="dxa"/>
            <w:tcBorders>
              <w:top w:val="nil"/>
              <w:left w:val="nil"/>
              <w:bottom w:val="nil"/>
              <w:right w:val="nil"/>
            </w:tcBorders>
          </w:tcPr>
          <w:p w14:paraId="369E5FD2" w14:textId="77777777" w:rsidR="000514C6" w:rsidRPr="000514C6" w:rsidRDefault="000514C6" w:rsidP="000514C6">
            <w:pPr>
              <w:rPr>
                <w:rFonts w:cstheme="minorHAnsi"/>
              </w:rPr>
            </w:pPr>
          </w:p>
        </w:tc>
      </w:tr>
      <w:tr w:rsidR="000514C6" w:rsidRPr="000514C6" w14:paraId="488562BD" w14:textId="77777777" w:rsidTr="002F0D61">
        <w:tc>
          <w:tcPr>
            <w:tcW w:w="675" w:type="dxa"/>
            <w:tcBorders>
              <w:top w:val="nil"/>
              <w:left w:val="nil"/>
              <w:bottom w:val="nil"/>
              <w:right w:val="nil"/>
            </w:tcBorders>
          </w:tcPr>
          <w:p w14:paraId="3F03D6F4" w14:textId="77777777" w:rsidR="000514C6" w:rsidRPr="000514C6" w:rsidRDefault="000514C6" w:rsidP="000514C6">
            <w:pPr>
              <w:rPr>
                <w:rFonts w:cstheme="minorHAnsi"/>
                <w:b/>
                <w:bCs/>
              </w:rPr>
            </w:pPr>
          </w:p>
        </w:tc>
        <w:tc>
          <w:tcPr>
            <w:tcW w:w="8567" w:type="dxa"/>
            <w:tcBorders>
              <w:top w:val="nil"/>
              <w:left w:val="nil"/>
              <w:bottom w:val="nil"/>
              <w:right w:val="nil"/>
            </w:tcBorders>
          </w:tcPr>
          <w:p w14:paraId="115A1933" w14:textId="77777777" w:rsidR="000514C6" w:rsidRPr="000514C6" w:rsidRDefault="000514C6" w:rsidP="000514C6">
            <w:pPr>
              <w:rPr>
                <w:rFonts w:cstheme="minorHAnsi"/>
              </w:rPr>
            </w:pPr>
            <w:r w:rsidRPr="000514C6">
              <w:rPr>
                <w:rFonts w:cstheme="minorHAnsi"/>
              </w:rPr>
              <w:t>The member of staff concerned and/or companion presents their case. Witnesses may be called.</w:t>
            </w:r>
          </w:p>
        </w:tc>
      </w:tr>
      <w:tr w:rsidR="000514C6" w:rsidRPr="000514C6" w14:paraId="1DED38D8" w14:textId="77777777" w:rsidTr="002F0D61">
        <w:tc>
          <w:tcPr>
            <w:tcW w:w="675" w:type="dxa"/>
            <w:tcBorders>
              <w:top w:val="nil"/>
              <w:left w:val="nil"/>
              <w:bottom w:val="nil"/>
              <w:right w:val="nil"/>
            </w:tcBorders>
          </w:tcPr>
          <w:p w14:paraId="4029C2C1" w14:textId="77777777" w:rsidR="000514C6" w:rsidRPr="000514C6" w:rsidRDefault="000514C6" w:rsidP="000514C6">
            <w:pPr>
              <w:rPr>
                <w:rFonts w:cstheme="minorHAnsi"/>
                <w:b/>
                <w:bCs/>
              </w:rPr>
            </w:pPr>
          </w:p>
        </w:tc>
        <w:tc>
          <w:tcPr>
            <w:tcW w:w="8567" w:type="dxa"/>
            <w:tcBorders>
              <w:top w:val="nil"/>
              <w:left w:val="nil"/>
              <w:bottom w:val="nil"/>
              <w:right w:val="nil"/>
            </w:tcBorders>
          </w:tcPr>
          <w:p w14:paraId="1D2134A4" w14:textId="77777777" w:rsidR="000514C6" w:rsidRPr="000514C6" w:rsidRDefault="000514C6" w:rsidP="000514C6">
            <w:pPr>
              <w:rPr>
                <w:rFonts w:cstheme="minorHAnsi"/>
                <w:b/>
                <w:bCs/>
              </w:rPr>
            </w:pPr>
          </w:p>
        </w:tc>
      </w:tr>
      <w:tr w:rsidR="000514C6" w:rsidRPr="000514C6" w14:paraId="38D5A82F" w14:textId="77777777" w:rsidTr="002F0D61">
        <w:tc>
          <w:tcPr>
            <w:tcW w:w="675" w:type="dxa"/>
            <w:tcBorders>
              <w:top w:val="nil"/>
              <w:left w:val="nil"/>
              <w:bottom w:val="nil"/>
              <w:right w:val="nil"/>
            </w:tcBorders>
          </w:tcPr>
          <w:p w14:paraId="30AA71F7" w14:textId="77777777" w:rsidR="000514C6" w:rsidRPr="000514C6" w:rsidRDefault="000514C6" w:rsidP="000514C6">
            <w:pPr>
              <w:rPr>
                <w:rFonts w:cstheme="minorHAnsi"/>
                <w:b/>
                <w:bCs/>
              </w:rPr>
            </w:pPr>
            <w:r w:rsidRPr="000514C6">
              <w:rPr>
                <w:rFonts w:cstheme="minorHAnsi"/>
                <w:b/>
                <w:bCs/>
              </w:rPr>
              <w:t>7.</w:t>
            </w:r>
          </w:p>
        </w:tc>
        <w:tc>
          <w:tcPr>
            <w:tcW w:w="8567" w:type="dxa"/>
            <w:tcBorders>
              <w:top w:val="nil"/>
              <w:left w:val="nil"/>
              <w:bottom w:val="nil"/>
              <w:right w:val="nil"/>
            </w:tcBorders>
          </w:tcPr>
          <w:p w14:paraId="15E2CCC0" w14:textId="77777777" w:rsidR="000514C6" w:rsidRPr="000514C6" w:rsidRDefault="000514C6" w:rsidP="000514C6">
            <w:pPr>
              <w:rPr>
                <w:rFonts w:cstheme="minorHAnsi"/>
              </w:rPr>
            </w:pPr>
            <w:r w:rsidRPr="000514C6">
              <w:rPr>
                <w:rFonts w:cstheme="minorHAnsi"/>
                <w:b/>
                <w:bCs/>
              </w:rPr>
              <w:t>Questions by original decision maker</w:t>
            </w:r>
          </w:p>
        </w:tc>
      </w:tr>
      <w:tr w:rsidR="000514C6" w:rsidRPr="000514C6" w14:paraId="4827B92F" w14:textId="77777777" w:rsidTr="002F0D61">
        <w:tc>
          <w:tcPr>
            <w:tcW w:w="675" w:type="dxa"/>
            <w:tcBorders>
              <w:top w:val="nil"/>
              <w:left w:val="nil"/>
              <w:bottom w:val="nil"/>
              <w:right w:val="nil"/>
            </w:tcBorders>
          </w:tcPr>
          <w:p w14:paraId="77A1E305" w14:textId="77777777" w:rsidR="000514C6" w:rsidRPr="000514C6" w:rsidRDefault="000514C6" w:rsidP="000514C6">
            <w:pPr>
              <w:rPr>
                <w:rFonts w:cstheme="minorHAnsi"/>
                <w:b/>
                <w:bCs/>
              </w:rPr>
            </w:pPr>
          </w:p>
        </w:tc>
        <w:tc>
          <w:tcPr>
            <w:tcW w:w="8567" w:type="dxa"/>
            <w:tcBorders>
              <w:top w:val="nil"/>
              <w:left w:val="nil"/>
              <w:bottom w:val="nil"/>
              <w:right w:val="nil"/>
            </w:tcBorders>
          </w:tcPr>
          <w:p w14:paraId="188F2FC1" w14:textId="77777777" w:rsidR="000514C6" w:rsidRPr="000514C6" w:rsidRDefault="000514C6" w:rsidP="000514C6">
            <w:pPr>
              <w:rPr>
                <w:rFonts w:cstheme="minorHAnsi"/>
              </w:rPr>
            </w:pPr>
          </w:p>
        </w:tc>
      </w:tr>
      <w:tr w:rsidR="000514C6" w:rsidRPr="000514C6" w14:paraId="2B2A4265" w14:textId="77777777" w:rsidTr="002F0D61">
        <w:tc>
          <w:tcPr>
            <w:tcW w:w="675" w:type="dxa"/>
            <w:tcBorders>
              <w:top w:val="nil"/>
              <w:left w:val="nil"/>
              <w:bottom w:val="nil"/>
              <w:right w:val="nil"/>
            </w:tcBorders>
          </w:tcPr>
          <w:p w14:paraId="36F81126" w14:textId="77777777" w:rsidR="000514C6" w:rsidRPr="000514C6" w:rsidRDefault="000514C6" w:rsidP="000514C6">
            <w:pPr>
              <w:rPr>
                <w:rFonts w:cstheme="minorHAnsi"/>
                <w:b/>
                <w:bCs/>
              </w:rPr>
            </w:pPr>
          </w:p>
        </w:tc>
        <w:tc>
          <w:tcPr>
            <w:tcW w:w="8567" w:type="dxa"/>
            <w:tcBorders>
              <w:top w:val="nil"/>
              <w:left w:val="nil"/>
              <w:bottom w:val="nil"/>
              <w:right w:val="nil"/>
            </w:tcBorders>
          </w:tcPr>
          <w:p w14:paraId="65B6A6CF" w14:textId="77777777" w:rsidR="000514C6" w:rsidRPr="000514C6" w:rsidRDefault="000514C6" w:rsidP="000514C6">
            <w:pPr>
              <w:rPr>
                <w:rFonts w:cstheme="minorHAnsi"/>
                <w:b/>
                <w:bCs/>
              </w:rPr>
            </w:pPr>
            <w:r w:rsidRPr="000514C6">
              <w:rPr>
                <w:rFonts w:cstheme="minorHAnsi"/>
              </w:rPr>
              <w:t>The original decision maker may question at this point in the procedure.</w:t>
            </w:r>
          </w:p>
        </w:tc>
      </w:tr>
      <w:tr w:rsidR="000514C6" w:rsidRPr="000514C6" w14:paraId="64633695" w14:textId="77777777" w:rsidTr="002F0D61">
        <w:tc>
          <w:tcPr>
            <w:tcW w:w="675" w:type="dxa"/>
            <w:tcBorders>
              <w:top w:val="nil"/>
              <w:left w:val="nil"/>
              <w:bottom w:val="nil"/>
              <w:right w:val="nil"/>
            </w:tcBorders>
          </w:tcPr>
          <w:p w14:paraId="0F41E573" w14:textId="77777777" w:rsidR="000514C6" w:rsidRPr="000514C6" w:rsidRDefault="000514C6" w:rsidP="000514C6">
            <w:pPr>
              <w:rPr>
                <w:rFonts w:cstheme="minorHAnsi"/>
                <w:b/>
                <w:bCs/>
              </w:rPr>
            </w:pPr>
          </w:p>
        </w:tc>
        <w:tc>
          <w:tcPr>
            <w:tcW w:w="8567" w:type="dxa"/>
            <w:tcBorders>
              <w:top w:val="nil"/>
              <w:left w:val="nil"/>
              <w:bottom w:val="nil"/>
              <w:right w:val="nil"/>
            </w:tcBorders>
          </w:tcPr>
          <w:p w14:paraId="6E0C2E90" w14:textId="77777777" w:rsidR="000514C6" w:rsidRPr="000514C6" w:rsidRDefault="000514C6" w:rsidP="000514C6">
            <w:pPr>
              <w:rPr>
                <w:rFonts w:cstheme="minorHAnsi"/>
                <w:b/>
                <w:bCs/>
              </w:rPr>
            </w:pPr>
          </w:p>
        </w:tc>
      </w:tr>
      <w:tr w:rsidR="000514C6" w:rsidRPr="000514C6" w14:paraId="7A1BE421" w14:textId="77777777" w:rsidTr="002F0D61">
        <w:tc>
          <w:tcPr>
            <w:tcW w:w="675" w:type="dxa"/>
            <w:tcBorders>
              <w:top w:val="nil"/>
              <w:left w:val="nil"/>
              <w:bottom w:val="nil"/>
              <w:right w:val="nil"/>
            </w:tcBorders>
          </w:tcPr>
          <w:p w14:paraId="4D31DE1A" w14:textId="77777777" w:rsidR="000514C6" w:rsidRPr="000514C6" w:rsidRDefault="000514C6" w:rsidP="000514C6">
            <w:pPr>
              <w:rPr>
                <w:rFonts w:cstheme="minorHAnsi"/>
                <w:b/>
                <w:bCs/>
              </w:rPr>
            </w:pPr>
            <w:r w:rsidRPr="000514C6">
              <w:rPr>
                <w:rFonts w:cstheme="minorHAnsi"/>
                <w:b/>
                <w:bCs/>
              </w:rPr>
              <w:t>8.</w:t>
            </w:r>
          </w:p>
        </w:tc>
        <w:tc>
          <w:tcPr>
            <w:tcW w:w="8567" w:type="dxa"/>
            <w:tcBorders>
              <w:top w:val="nil"/>
              <w:left w:val="nil"/>
              <w:bottom w:val="nil"/>
              <w:right w:val="nil"/>
            </w:tcBorders>
          </w:tcPr>
          <w:p w14:paraId="0D225B79" w14:textId="77777777" w:rsidR="000514C6" w:rsidRPr="000514C6" w:rsidRDefault="000514C6" w:rsidP="000514C6">
            <w:pPr>
              <w:rPr>
                <w:rFonts w:cstheme="minorHAnsi"/>
              </w:rPr>
            </w:pPr>
            <w:r w:rsidRPr="000514C6">
              <w:rPr>
                <w:rFonts w:cstheme="minorHAnsi"/>
                <w:b/>
                <w:bCs/>
              </w:rPr>
              <w:t>Questions by the Panel</w:t>
            </w:r>
          </w:p>
        </w:tc>
      </w:tr>
      <w:tr w:rsidR="000514C6" w:rsidRPr="000514C6" w14:paraId="7180E8B2" w14:textId="77777777" w:rsidTr="002F0D61">
        <w:tc>
          <w:tcPr>
            <w:tcW w:w="675" w:type="dxa"/>
            <w:tcBorders>
              <w:top w:val="nil"/>
              <w:left w:val="nil"/>
              <w:bottom w:val="nil"/>
              <w:right w:val="nil"/>
            </w:tcBorders>
          </w:tcPr>
          <w:p w14:paraId="1B0BC884" w14:textId="77777777" w:rsidR="000514C6" w:rsidRPr="000514C6" w:rsidRDefault="000514C6" w:rsidP="000514C6">
            <w:pPr>
              <w:rPr>
                <w:rFonts w:cstheme="minorHAnsi"/>
                <w:b/>
                <w:bCs/>
              </w:rPr>
            </w:pPr>
          </w:p>
        </w:tc>
        <w:tc>
          <w:tcPr>
            <w:tcW w:w="8567" w:type="dxa"/>
            <w:tcBorders>
              <w:top w:val="nil"/>
              <w:left w:val="nil"/>
              <w:bottom w:val="nil"/>
              <w:right w:val="nil"/>
            </w:tcBorders>
          </w:tcPr>
          <w:p w14:paraId="2E18339D" w14:textId="77777777" w:rsidR="000514C6" w:rsidRPr="000514C6" w:rsidRDefault="000514C6" w:rsidP="000514C6">
            <w:pPr>
              <w:rPr>
                <w:rFonts w:cstheme="minorHAnsi"/>
              </w:rPr>
            </w:pPr>
          </w:p>
        </w:tc>
      </w:tr>
      <w:tr w:rsidR="000514C6" w:rsidRPr="000514C6" w14:paraId="04C31528" w14:textId="77777777" w:rsidTr="002F0D61">
        <w:tc>
          <w:tcPr>
            <w:tcW w:w="675" w:type="dxa"/>
            <w:tcBorders>
              <w:top w:val="nil"/>
              <w:left w:val="nil"/>
              <w:bottom w:val="nil"/>
              <w:right w:val="nil"/>
            </w:tcBorders>
          </w:tcPr>
          <w:p w14:paraId="796BEC9F" w14:textId="77777777" w:rsidR="000514C6" w:rsidRPr="000514C6" w:rsidRDefault="000514C6" w:rsidP="000514C6">
            <w:pPr>
              <w:rPr>
                <w:rFonts w:cstheme="minorHAnsi"/>
                <w:b/>
                <w:bCs/>
              </w:rPr>
            </w:pPr>
          </w:p>
        </w:tc>
        <w:tc>
          <w:tcPr>
            <w:tcW w:w="8567" w:type="dxa"/>
            <w:tcBorders>
              <w:top w:val="nil"/>
              <w:left w:val="nil"/>
              <w:bottom w:val="nil"/>
              <w:right w:val="nil"/>
            </w:tcBorders>
          </w:tcPr>
          <w:p w14:paraId="3C61889F" w14:textId="43F7E9A0" w:rsidR="000514C6" w:rsidRPr="000514C6" w:rsidRDefault="000514C6" w:rsidP="000514C6">
            <w:pPr>
              <w:rPr>
                <w:rFonts w:cstheme="minorHAnsi"/>
                <w:b/>
                <w:bCs/>
              </w:rPr>
            </w:pPr>
            <w:r w:rsidRPr="000514C6">
              <w:rPr>
                <w:rFonts w:cstheme="minorHAnsi"/>
              </w:rPr>
              <w:t>Members of the Pay Appeal Panel may question the original decision maker and any other person giving oral statements.</w:t>
            </w:r>
          </w:p>
        </w:tc>
      </w:tr>
      <w:tr w:rsidR="000514C6" w:rsidRPr="000514C6" w14:paraId="49011664" w14:textId="77777777" w:rsidTr="002F0D61">
        <w:tc>
          <w:tcPr>
            <w:tcW w:w="675" w:type="dxa"/>
            <w:tcBorders>
              <w:top w:val="nil"/>
              <w:left w:val="nil"/>
              <w:bottom w:val="nil"/>
              <w:right w:val="nil"/>
            </w:tcBorders>
          </w:tcPr>
          <w:p w14:paraId="4B0F4765" w14:textId="77777777" w:rsidR="000514C6" w:rsidRPr="000514C6" w:rsidRDefault="000514C6" w:rsidP="000514C6">
            <w:pPr>
              <w:rPr>
                <w:rFonts w:cstheme="minorHAnsi"/>
                <w:b/>
                <w:bCs/>
              </w:rPr>
            </w:pPr>
          </w:p>
        </w:tc>
        <w:tc>
          <w:tcPr>
            <w:tcW w:w="8567" w:type="dxa"/>
            <w:tcBorders>
              <w:top w:val="nil"/>
              <w:left w:val="nil"/>
              <w:bottom w:val="nil"/>
              <w:right w:val="nil"/>
            </w:tcBorders>
          </w:tcPr>
          <w:p w14:paraId="2432B972" w14:textId="77777777" w:rsidR="000514C6" w:rsidRPr="000514C6" w:rsidRDefault="000514C6" w:rsidP="000514C6">
            <w:pPr>
              <w:rPr>
                <w:rFonts w:cstheme="minorHAnsi"/>
                <w:b/>
                <w:bCs/>
              </w:rPr>
            </w:pPr>
          </w:p>
        </w:tc>
      </w:tr>
      <w:tr w:rsidR="000514C6" w:rsidRPr="000514C6" w14:paraId="32F2C35C" w14:textId="77777777" w:rsidTr="002F0D61">
        <w:tc>
          <w:tcPr>
            <w:tcW w:w="675" w:type="dxa"/>
            <w:tcBorders>
              <w:top w:val="nil"/>
              <w:left w:val="nil"/>
              <w:bottom w:val="nil"/>
              <w:right w:val="nil"/>
            </w:tcBorders>
          </w:tcPr>
          <w:p w14:paraId="49C4DB36" w14:textId="77777777" w:rsidR="000514C6" w:rsidRPr="000514C6" w:rsidRDefault="000514C6" w:rsidP="000514C6">
            <w:pPr>
              <w:rPr>
                <w:rFonts w:cstheme="minorHAnsi"/>
                <w:b/>
                <w:bCs/>
              </w:rPr>
            </w:pPr>
            <w:r w:rsidRPr="000514C6">
              <w:rPr>
                <w:rFonts w:cstheme="minorHAnsi"/>
                <w:b/>
                <w:bCs/>
              </w:rPr>
              <w:lastRenderedPageBreak/>
              <w:t>9.</w:t>
            </w:r>
          </w:p>
        </w:tc>
        <w:tc>
          <w:tcPr>
            <w:tcW w:w="8567" w:type="dxa"/>
            <w:tcBorders>
              <w:top w:val="nil"/>
              <w:left w:val="nil"/>
              <w:bottom w:val="nil"/>
              <w:right w:val="nil"/>
            </w:tcBorders>
          </w:tcPr>
          <w:p w14:paraId="201A7B23" w14:textId="77777777" w:rsidR="000514C6" w:rsidRPr="000514C6" w:rsidRDefault="000514C6" w:rsidP="000514C6">
            <w:pPr>
              <w:rPr>
                <w:rFonts w:cstheme="minorHAnsi"/>
              </w:rPr>
            </w:pPr>
            <w:r w:rsidRPr="000514C6">
              <w:rPr>
                <w:rFonts w:cstheme="minorHAnsi"/>
                <w:b/>
                <w:bCs/>
              </w:rPr>
              <w:t>Final statement by the Original Decision Maker</w:t>
            </w:r>
          </w:p>
        </w:tc>
      </w:tr>
      <w:tr w:rsidR="000514C6" w:rsidRPr="000514C6" w14:paraId="6A2A8604" w14:textId="77777777" w:rsidTr="002F0D61">
        <w:trPr>
          <w:trHeight w:val="135"/>
        </w:trPr>
        <w:tc>
          <w:tcPr>
            <w:tcW w:w="675" w:type="dxa"/>
            <w:tcBorders>
              <w:top w:val="nil"/>
              <w:left w:val="nil"/>
              <w:bottom w:val="nil"/>
              <w:right w:val="nil"/>
            </w:tcBorders>
          </w:tcPr>
          <w:p w14:paraId="263D6B80" w14:textId="77777777" w:rsidR="000514C6" w:rsidRPr="000514C6" w:rsidRDefault="000514C6" w:rsidP="000514C6">
            <w:pPr>
              <w:rPr>
                <w:rFonts w:cstheme="minorHAnsi"/>
                <w:b/>
                <w:bCs/>
              </w:rPr>
            </w:pPr>
          </w:p>
        </w:tc>
        <w:tc>
          <w:tcPr>
            <w:tcW w:w="8567" w:type="dxa"/>
            <w:tcBorders>
              <w:top w:val="nil"/>
              <w:left w:val="nil"/>
              <w:bottom w:val="nil"/>
              <w:right w:val="nil"/>
            </w:tcBorders>
          </w:tcPr>
          <w:p w14:paraId="1D51E77E" w14:textId="77777777" w:rsidR="000514C6" w:rsidRPr="000514C6" w:rsidRDefault="000514C6" w:rsidP="000514C6">
            <w:pPr>
              <w:rPr>
                <w:rFonts w:cstheme="minorHAnsi"/>
              </w:rPr>
            </w:pPr>
          </w:p>
        </w:tc>
      </w:tr>
      <w:tr w:rsidR="000514C6" w:rsidRPr="000514C6" w14:paraId="4FE7DC9D" w14:textId="77777777" w:rsidTr="002F0D61">
        <w:trPr>
          <w:trHeight w:val="95"/>
        </w:trPr>
        <w:tc>
          <w:tcPr>
            <w:tcW w:w="675" w:type="dxa"/>
            <w:tcBorders>
              <w:top w:val="nil"/>
              <w:left w:val="nil"/>
              <w:bottom w:val="nil"/>
              <w:right w:val="nil"/>
            </w:tcBorders>
          </w:tcPr>
          <w:p w14:paraId="7C643EF6" w14:textId="77777777" w:rsidR="000514C6" w:rsidRPr="000514C6" w:rsidRDefault="000514C6" w:rsidP="000514C6">
            <w:pPr>
              <w:rPr>
                <w:rFonts w:cstheme="minorHAnsi"/>
                <w:b/>
                <w:bCs/>
              </w:rPr>
            </w:pPr>
          </w:p>
        </w:tc>
        <w:tc>
          <w:tcPr>
            <w:tcW w:w="8567" w:type="dxa"/>
            <w:tcBorders>
              <w:top w:val="nil"/>
              <w:left w:val="nil"/>
              <w:bottom w:val="nil"/>
              <w:right w:val="nil"/>
            </w:tcBorders>
          </w:tcPr>
          <w:p w14:paraId="2CD058B5" w14:textId="77777777" w:rsidR="000514C6" w:rsidRPr="000514C6" w:rsidRDefault="000514C6" w:rsidP="000514C6">
            <w:pPr>
              <w:rPr>
                <w:rFonts w:cstheme="minorHAnsi"/>
              </w:rPr>
            </w:pPr>
            <w:r w:rsidRPr="000514C6">
              <w:rPr>
                <w:rFonts w:cstheme="minorHAnsi"/>
              </w:rPr>
              <w:t>The original decision maker may make a final statement.</w:t>
            </w:r>
          </w:p>
        </w:tc>
      </w:tr>
      <w:tr w:rsidR="000514C6" w:rsidRPr="000514C6" w14:paraId="60FB2B61" w14:textId="77777777" w:rsidTr="002F0D61">
        <w:trPr>
          <w:trHeight w:val="95"/>
        </w:trPr>
        <w:tc>
          <w:tcPr>
            <w:tcW w:w="675" w:type="dxa"/>
            <w:tcBorders>
              <w:top w:val="nil"/>
              <w:left w:val="nil"/>
              <w:bottom w:val="nil"/>
              <w:right w:val="nil"/>
            </w:tcBorders>
          </w:tcPr>
          <w:p w14:paraId="31783C61" w14:textId="77777777" w:rsidR="000514C6" w:rsidRPr="000514C6" w:rsidRDefault="000514C6" w:rsidP="000514C6">
            <w:pPr>
              <w:rPr>
                <w:rFonts w:cstheme="minorHAnsi"/>
                <w:b/>
                <w:bCs/>
              </w:rPr>
            </w:pPr>
          </w:p>
        </w:tc>
        <w:tc>
          <w:tcPr>
            <w:tcW w:w="8567" w:type="dxa"/>
            <w:tcBorders>
              <w:top w:val="nil"/>
              <w:left w:val="nil"/>
              <w:bottom w:val="nil"/>
              <w:right w:val="nil"/>
            </w:tcBorders>
          </w:tcPr>
          <w:p w14:paraId="6CB11839" w14:textId="77777777" w:rsidR="000514C6" w:rsidRPr="000514C6" w:rsidRDefault="000514C6" w:rsidP="000514C6">
            <w:pPr>
              <w:rPr>
                <w:rFonts w:cstheme="minorHAnsi"/>
              </w:rPr>
            </w:pPr>
          </w:p>
        </w:tc>
      </w:tr>
    </w:tbl>
    <w:p w14:paraId="763D804F" w14:textId="448B33C9" w:rsidR="000514C6" w:rsidRPr="000514C6" w:rsidRDefault="000514C6" w:rsidP="00C07F52">
      <w:pPr>
        <w:spacing w:after="0" w:line="240" w:lineRule="auto"/>
        <w:rPr>
          <w:rFonts w:cstheme="minorHAnsi"/>
          <w:b/>
          <w:bCs/>
        </w:rPr>
      </w:pPr>
      <w:r w:rsidRPr="000514C6">
        <w:rPr>
          <w:rFonts w:cstheme="minorHAnsi"/>
          <w:b/>
          <w:bCs/>
        </w:rPr>
        <w:t>10.</w:t>
      </w:r>
      <w:r w:rsidRPr="000514C6">
        <w:rPr>
          <w:rFonts w:cstheme="minorHAnsi"/>
          <w:b/>
          <w:bCs/>
        </w:rPr>
        <w:tab/>
        <w:t xml:space="preserve"> Final statement by the member of staff</w:t>
      </w:r>
    </w:p>
    <w:p w14:paraId="2B4E754C" w14:textId="3F380A06" w:rsidR="000514C6" w:rsidRDefault="000514C6" w:rsidP="00C07F52">
      <w:pPr>
        <w:spacing w:after="0" w:line="240" w:lineRule="auto"/>
        <w:rPr>
          <w:rFonts w:cstheme="minorHAnsi"/>
        </w:rPr>
      </w:pPr>
      <w:r>
        <w:rPr>
          <w:rFonts w:cstheme="minorHAnsi"/>
        </w:rPr>
        <w:tab/>
      </w:r>
    </w:p>
    <w:p w14:paraId="63E56E4E" w14:textId="422C28DB" w:rsidR="000514C6" w:rsidRPr="000514C6" w:rsidRDefault="000514C6" w:rsidP="00C07F52">
      <w:pPr>
        <w:spacing w:after="0" w:line="240" w:lineRule="auto"/>
        <w:rPr>
          <w:rFonts w:cstheme="minorHAnsi"/>
        </w:rPr>
      </w:pPr>
      <w:r>
        <w:rPr>
          <w:rFonts w:cstheme="minorHAnsi"/>
        </w:rPr>
        <w:tab/>
        <w:t xml:space="preserve"> The member of staff may make a final statement </w:t>
      </w:r>
    </w:p>
    <w:sectPr w:rsidR="000514C6" w:rsidRPr="0005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A60"/>
    <w:multiLevelType w:val="hybridMultilevel"/>
    <w:tmpl w:val="0F84AA26"/>
    <w:lvl w:ilvl="0" w:tplc="0EA67148">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5512B0"/>
    <w:multiLevelType w:val="hybridMultilevel"/>
    <w:tmpl w:val="3E64C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E71BE"/>
    <w:multiLevelType w:val="hybridMultilevel"/>
    <w:tmpl w:val="79985C3C"/>
    <w:lvl w:ilvl="0" w:tplc="E74CDFDA">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B35D3D"/>
    <w:multiLevelType w:val="hybridMultilevel"/>
    <w:tmpl w:val="6DC832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E06B6"/>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54D6852"/>
    <w:multiLevelType w:val="hybridMultilevel"/>
    <w:tmpl w:val="A016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C79D3"/>
    <w:multiLevelType w:val="multilevel"/>
    <w:tmpl w:val="AAC6F79C"/>
    <w:lvl w:ilvl="0">
      <w:start w:val="9"/>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B0B505B"/>
    <w:multiLevelType w:val="hybridMultilevel"/>
    <w:tmpl w:val="150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623D1"/>
    <w:multiLevelType w:val="hybridMultilevel"/>
    <w:tmpl w:val="975A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F08BF"/>
    <w:multiLevelType w:val="multilevel"/>
    <w:tmpl w:val="EA6AA3D6"/>
    <w:lvl w:ilvl="0">
      <w:start w:val="1"/>
      <w:numFmt w:val="lowerLetter"/>
      <w:pStyle w:val="Alphabet1"/>
      <w:lvlText w:val="(%1)"/>
      <w:lvlJc w:val="left"/>
      <w:pPr>
        <w:tabs>
          <w:tab w:val="num" w:pos="1701"/>
        </w:tabs>
        <w:ind w:left="1701" w:hanging="850"/>
      </w:pPr>
      <w:rPr>
        <w:rFonts w:hint="default"/>
        <w:b w:val="0"/>
      </w:rPr>
    </w:lvl>
    <w:lvl w:ilvl="1">
      <w:start w:val="1"/>
      <w:numFmt w:val="lowerLetter"/>
      <w:pStyle w:val="Alphabet2"/>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pStyle w:val="Alphabet4"/>
      <w:lvlText w:val="(%4)"/>
      <w:lvlJc w:val="left"/>
      <w:pPr>
        <w:tabs>
          <w:tab w:val="num" w:pos="1701"/>
        </w:tabs>
        <w:ind w:left="1701" w:hanging="850"/>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E9C062E"/>
    <w:multiLevelType w:val="hybridMultilevel"/>
    <w:tmpl w:val="8792845C"/>
    <w:lvl w:ilvl="0" w:tplc="3118F33E">
      <w:start w:val="1"/>
      <w:numFmt w:val="lowerLetter"/>
      <w:lvlText w:val="(%1)"/>
      <w:lvlJc w:val="left"/>
      <w:pPr>
        <w:tabs>
          <w:tab w:val="num" w:pos="1701"/>
        </w:tabs>
        <w:ind w:left="1701" w:hanging="850"/>
      </w:pPr>
      <w:rPr>
        <w:rFonts w:ascii="Arial" w:hAnsi="Arial" w:cs="Arial" w:hint="default"/>
        <w:sz w:val="21"/>
        <w:szCs w:val="21"/>
      </w:rPr>
    </w:lvl>
    <w:lvl w:ilvl="1" w:tplc="08090003" w:tentative="1">
      <w:start w:val="1"/>
      <w:numFmt w:val="lowerLetter"/>
      <w:lvlText w:val="%2."/>
      <w:lvlJc w:val="left"/>
      <w:pPr>
        <w:ind w:left="2291" w:hanging="360"/>
      </w:pPr>
    </w:lvl>
    <w:lvl w:ilvl="2" w:tplc="08090005" w:tentative="1">
      <w:start w:val="1"/>
      <w:numFmt w:val="lowerRoman"/>
      <w:lvlText w:val="%3."/>
      <w:lvlJc w:val="right"/>
      <w:pPr>
        <w:ind w:left="3011" w:hanging="180"/>
      </w:pPr>
    </w:lvl>
    <w:lvl w:ilvl="3" w:tplc="08090001" w:tentative="1">
      <w:start w:val="1"/>
      <w:numFmt w:val="decimal"/>
      <w:lvlText w:val="%4."/>
      <w:lvlJc w:val="left"/>
      <w:pPr>
        <w:ind w:left="3731" w:hanging="360"/>
      </w:pPr>
    </w:lvl>
    <w:lvl w:ilvl="4" w:tplc="08090003" w:tentative="1">
      <w:start w:val="1"/>
      <w:numFmt w:val="lowerLetter"/>
      <w:lvlText w:val="%5."/>
      <w:lvlJc w:val="left"/>
      <w:pPr>
        <w:ind w:left="4451" w:hanging="360"/>
      </w:pPr>
    </w:lvl>
    <w:lvl w:ilvl="5" w:tplc="08090005" w:tentative="1">
      <w:start w:val="1"/>
      <w:numFmt w:val="lowerRoman"/>
      <w:lvlText w:val="%6."/>
      <w:lvlJc w:val="right"/>
      <w:pPr>
        <w:ind w:left="5171" w:hanging="180"/>
      </w:pPr>
    </w:lvl>
    <w:lvl w:ilvl="6" w:tplc="08090001" w:tentative="1">
      <w:start w:val="1"/>
      <w:numFmt w:val="decimal"/>
      <w:lvlText w:val="%7."/>
      <w:lvlJc w:val="left"/>
      <w:pPr>
        <w:ind w:left="5891" w:hanging="360"/>
      </w:pPr>
    </w:lvl>
    <w:lvl w:ilvl="7" w:tplc="08090003" w:tentative="1">
      <w:start w:val="1"/>
      <w:numFmt w:val="lowerLetter"/>
      <w:lvlText w:val="%8."/>
      <w:lvlJc w:val="left"/>
      <w:pPr>
        <w:ind w:left="6611" w:hanging="360"/>
      </w:pPr>
    </w:lvl>
    <w:lvl w:ilvl="8" w:tplc="08090005" w:tentative="1">
      <w:start w:val="1"/>
      <w:numFmt w:val="lowerRoman"/>
      <w:lvlText w:val="%9."/>
      <w:lvlJc w:val="right"/>
      <w:pPr>
        <w:ind w:left="7331" w:hanging="180"/>
      </w:pPr>
    </w:lvl>
  </w:abstractNum>
  <w:abstractNum w:abstractNumId="11" w15:restartNumberingAfterBreak="0">
    <w:nsid w:val="7F6C1D21"/>
    <w:multiLevelType w:val="hybridMultilevel"/>
    <w:tmpl w:val="5A7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6"/>
  </w:num>
  <w:num w:numId="6">
    <w:abstractNumId w:val="0"/>
  </w:num>
  <w:num w:numId="7">
    <w:abstractNumId w:val="4"/>
  </w:num>
  <w:num w:numId="8">
    <w:abstractNumId w:val="9"/>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DC"/>
    <w:rsid w:val="000514C6"/>
    <w:rsid w:val="00103326"/>
    <w:rsid w:val="00190577"/>
    <w:rsid w:val="001A7AEE"/>
    <w:rsid w:val="002B1197"/>
    <w:rsid w:val="00311CBD"/>
    <w:rsid w:val="003A0567"/>
    <w:rsid w:val="00405956"/>
    <w:rsid w:val="00437DDC"/>
    <w:rsid w:val="00445829"/>
    <w:rsid w:val="004479E7"/>
    <w:rsid w:val="004A54A5"/>
    <w:rsid w:val="005725C5"/>
    <w:rsid w:val="005D0F73"/>
    <w:rsid w:val="005E0581"/>
    <w:rsid w:val="006123CF"/>
    <w:rsid w:val="006514CA"/>
    <w:rsid w:val="00704DDC"/>
    <w:rsid w:val="007376CD"/>
    <w:rsid w:val="00766342"/>
    <w:rsid w:val="00771461"/>
    <w:rsid w:val="007C1AC8"/>
    <w:rsid w:val="00811368"/>
    <w:rsid w:val="008E0DFF"/>
    <w:rsid w:val="009C3A3C"/>
    <w:rsid w:val="00A322B6"/>
    <w:rsid w:val="00A923B2"/>
    <w:rsid w:val="00AA1FBE"/>
    <w:rsid w:val="00AA4C26"/>
    <w:rsid w:val="00AE7592"/>
    <w:rsid w:val="00AF09E4"/>
    <w:rsid w:val="00B6172A"/>
    <w:rsid w:val="00BA4900"/>
    <w:rsid w:val="00BB771A"/>
    <w:rsid w:val="00C07F52"/>
    <w:rsid w:val="00C2283C"/>
    <w:rsid w:val="00D53150"/>
    <w:rsid w:val="00D71137"/>
    <w:rsid w:val="00D924F5"/>
    <w:rsid w:val="00DC39B7"/>
    <w:rsid w:val="00E54DC4"/>
    <w:rsid w:val="00E7575D"/>
    <w:rsid w:val="00E87893"/>
    <w:rsid w:val="00E9567B"/>
    <w:rsid w:val="00EB27D9"/>
    <w:rsid w:val="00EC4142"/>
    <w:rsid w:val="00ED2EA3"/>
    <w:rsid w:val="00F26F52"/>
    <w:rsid w:val="00FD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CB13"/>
  <w15:chartTrackingRefBased/>
  <w15:docId w15:val="{1BEC0A87-96B8-441D-9ED8-1579D49C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1368"/>
    <w:pPr>
      <w:ind w:left="720"/>
      <w:contextualSpacing/>
    </w:pPr>
  </w:style>
  <w:style w:type="paragraph" w:customStyle="1" w:styleId="Default">
    <w:name w:val="Default"/>
    <w:uiPriority w:val="99"/>
    <w:rsid w:val="002B11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1197"/>
    <w:rPr>
      <w:color w:val="0000FF"/>
      <w:u w:val="single"/>
    </w:rPr>
  </w:style>
  <w:style w:type="paragraph" w:customStyle="1" w:styleId="Alphabet1">
    <w:name w:val="Alphabet 1"/>
    <w:basedOn w:val="Normal"/>
    <w:uiPriority w:val="99"/>
    <w:qFormat/>
    <w:rsid w:val="002B1197"/>
    <w:pPr>
      <w:numPr>
        <w:numId w:val="8"/>
      </w:numPr>
      <w:tabs>
        <w:tab w:val="left" w:pos="1418"/>
      </w:tabs>
      <w:spacing w:after="200" w:line="276" w:lineRule="auto"/>
    </w:pPr>
    <w:rPr>
      <w:rFonts w:ascii="Arial" w:eastAsia="Calibri" w:hAnsi="Arial" w:cs="Arial"/>
      <w:sz w:val="21"/>
    </w:rPr>
  </w:style>
  <w:style w:type="paragraph" w:customStyle="1" w:styleId="Alphabet2">
    <w:name w:val="Alphabet 2"/>
    <w:basedOn w:val="Normal"/>
    <w:uiPriority w:val="99"/>
    <w:semiHidden/>
    <w:qFormat/>
    <w:rsid w:val="002B1197"/>
    <w:pPr>
      <w:numPr>
        <w:ilvl w:val="1"/>
        <w:numId w:val="8"/>
      </w:numPr>
      <w:spacing w:after="200" w:line="276" w:lineRule="auto"/>
    </w:pPr>
    <w:rPr>
      <w:rFonts w:ascii="Arial" w:eastAsia="Calibri" w:hAnsi="Arial" w:cs="Arial"/>
      <w:sz w:val="21"/>
    </w:rPr>
  </w:style>
  <w:style w:type="paragraph" w:customStyle="1" w:styleId="Alphabet4">
    <w:name w:val="Alphabet 4"/>
    <w:basedOn w:val="Normal"/>
    <w:uiPriority w:val="99"/>
    <w:qFormat/>
    <w:rsid w:val="002B1197"/>
    <w:pPr>
      <w:numPr>
        <w:ilvl w:val="3"/>
        <w:numId w:val="8"/>
      </w:numPr>
      <w:tabs>
        <w:tab w:val="left" w:pos="3402"/>
      </w:tabs>
      <w:spacing w:after="200" w:line="276" w:lineRule="auto"/>
    </w:pPr>
    <w:rPr>
      <w:rFonts w:ascii="Arial" w:eastAsia="Calibri" w:hAnsi="Arial" w:cs="Arial"/>
      <w:sz w:val="21"/>
    </w:rPr>
  </w:style>
  <w:style w:type="paragraph" w:customStyle="1" w:styleId="Alphabet5">
    <w:name w:val="Alphabet 5"/>
    <w:basedOn w:val="Normal"/>
    <w:uiPriority w:val="99"/>
    <w:qFormat/>
    <w:rsid w:val="002B1197"/>
    <w:pPr>
      <w:numPr>
        <w:ilvl w:val="4"/>
        <w:numId w:val="8"/>
      </w:numPr>
      <w:spacing w:after="200" w:line="276" w:lineRule="auto"/>
    </w:pPr>
    <w:rPr>
      <w:rFonts w:ascii="Arial" w:eastAsia="Calibri" w:hAnsi="Arial" w:cs="Arial"/>
      <w:sz w:val="21"/>
    </w:rPr>
  </w:style>
  <w:style w:type="character" w:customStyle="1" w:styleId="ListParagraphChar">
    <w:name w:val="List Paragraph Char"/>
    <w:basedOn w:val="DefaultParagraphFont"/>
    <w:link w:val="ListParagraph"/>
    <w:uiPriority w:val="34"/>
    <w:rsid w:val="002B1197"/>
  </w:style>
  <w:style w:type="table" w:styleId="TableGrid">
    <w:name w:val="Table Grid"/>
    <w:basedOn w:val="TableNormal"/>
    <w:uiPriority w:val="59"/>
    <w:rsid w:val="00D7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school-inspection-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Patterson  @ GROW Education / LDBS</dc:creator>
  <cp:keywords/>
  <dc:description/>
  <cp:lastModifiedBy>Clare de Courcy Ling @ GROW Education / LDBS</cp:lastModifiedBy>
  <cp:revision>7</cp:revision>
  <cp:lastPrinted>2021-09-16T13:31:00Z</cp:lastPrinted>
  <dcterms:created xsi:type="dcterms:W3CDTF">2021-10-08T15:18:00Z</dcterms:created>
  <dcterms:modified xsi:type="dcterms:W3CDTF">2021-11-01T15:21:00Z</dcterms:modified>
</cp:coreProperties>
</file>